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安徽城市管理职业学院201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44"/>
          <w:szCs w:val="44"/>
        </w:rPr>
        <w:t>年度公开招聘报考人员最终成绩</w:t>
      </w:r>
    </w:p>
    <w:tbl>
      <w:tblPr>
        <w:tblStyle w:val="5"/>
        <w:tblW w:w="13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26"/>
        <w:gridCol w:w="1458"/>
        <w:gridCol w:w="2088"/>
        <w:gridCol w:w="1597"/>
        <w:gridCol w:w="370"/>
        <w:gridCol w:w="1226"/>
        <w:gridCol w:w="551"/>
        <w:gridCol w:w="1046"/>
        <w:gridCol w:w="230"/>
        <w:gridCol w:w="1367"/>
        <w:gridCol w:w="16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公共科目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面试(试讲)成绩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3000014</w:t>
            </w:r>
          </w:p>
        </w:tc>
        <w:tc>
          <w:tcPr>
            <w:tcW w:w="14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302000102014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3000015</w:t>
            </w:r>
          </w:p>
        </w:tc>
        <w:tc>
          <w:tcPr>
            <w:tcW w:w="145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302000102020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36.02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302000102019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75.36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3000016</w:t>
            </w:r>
          </w:p>
        </w:tc>
        <w:tc>
          <w:tcPr>
            <w:tcW w:w="145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302000102022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74.01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302000102024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62.97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3000019</w:t>
            </w:r>
          </w:p>
        </w:tc>
        <w:tc>
          <w:tcPr>
            <w:tcW w:w="145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301000901216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69.37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301000901217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301000901221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44.55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301000901209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71.54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3000020</w:t>
            </w:r>
          </w:p>
        </w:tc>
        <w:tc>
          <w:tcPr>
            <w:tcW w:w="14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302000102102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70.99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3000021</w:t>
            </w:r>
          </w:p>
        </w:tc>
        <w:tc>
          <w:tcPr>
            <w:tcW w:w="14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301000901224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73.43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3000022</w:t>
            </w:r>
          </w:p>
        </w:tc>
        <w:tc>
          <w:tcPr>
            <w:tcW w:w="145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301000901418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70.43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301000901416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301000901305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301000901413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23.92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301000901316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3000023</w:t>
            </w:r>
          </w:p>
        </w:tc>
        <w:tc>
          <w:tcPr>
            <w:tcW w:w="145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301000901505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36.82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301000901426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301000901524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37.75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301000901502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301000901520</w:t>
            </w:r>
          </w:p>
        </w:tc>
        <w:tc>
          <w:tcPr>
            <w:tcW w:w="196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17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54.00</w:t>
            </w:r>
          </w:p>
        </w:tc>
        <w:tc>
          <w:tcPr>
            <w:tcW w:w="127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136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65.54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5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公共科目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面试(试讲)成绩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最终成绩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3000024</w:t>
            </w:r>
          </w:p>
        </w:tc>
        <w:tc>
          <w:tcPr>
            <w:tcW w:w="145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302000102116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69.96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302000102106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71.76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302000102110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302000102107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39.13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302000102118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3000025</w:t>
            </w:r>
          </w:p>
        </w:tc>
        <w:tc>
          <w:tcPr>
            <w:tcW w:w="145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301000901622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71.32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301000901530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34.56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301000901612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30.82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301000901621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301000901609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63.26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3000026</w:t>
            </w:r>
          </w:p>
        </w:tc>
        <w:tc>
          <w:tcPr>
            <w:tcW w:w="145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301000902507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72.44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301000902425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301000902407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45.65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301000902213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301000901726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76.89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26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3000027</w:t>
            </w:r>
          </w:p>
        </w:tc>
        <w:tc>
          <w:tcPr>
            <w:tcW w:w="1458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301001000520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77.59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301001000412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72.89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301001000424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301001000703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26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301001000528</w:t>
            </w:r>
          </w:p>
        </w:tc>
        <w:tc>
          <w:tcPr>
            <w:tcW w:w="159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80.50</w:t>
            </w:r>
          </w:p>
        </w:tc>
        <w:tc>
          <w:tcPr>
            <w:tcW w:w="159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62.00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  <w:tc>
          <w:tcPr>
            <w:tcW w:w="159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42.08 </w:t>
            </w:r>
          </w:p>
        </w:tc>
        <w:tc>
          <w:tcPr>
            <w:tcW w:w="16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color w:val="474545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报考人员考试最终成绩依据公共科目成绩、专业笔试成绩与面试（试讲）成绩合成确定。其中，公共科目成绩占35%，专业笔试成绩占30%，面试（试讲）成绩占35%（计算公式：公共科目成绩÷1.2×0.35+专业笔试成绩×0.3+面试（试讲）成绩×0.35）</w:t>
      </w:r>
      <w:r>
        <w:rPr>
          <w:rFonts w:hint="eastAsia" w:ascii="宋体" w:hAnsi="宋体" w:cs="宋体"/>
          <w:color w:val="000000"/>
          <w:sz w:val="24"/>
          <w:szCs w:val="24"/>
        </w:rPr>
        <w:t>。上述成绩均以百分制计算，计算时保留到小数点后两位，小数点后第三位四舍五入。</w:t>
      </w:r>
    </w:p>
    <w:p>
      <w:bookmarkStart w:id="0" w:name="_GoBack"/>
      <w:bookmarkEnd w:id="0"/>
    </w:p>
    <w:sectPr>
      <w:pgSz w:w="16838" w:h="11906" w:orient="landscape"/>
      <w:pgMar w:top="850" w:right="1417" w:bottom="85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47550"/>
    <w:rsid w:val="14EC2DBC"/>
    <w:rsid w:val="1BA47550"/>
    <w:rsid w:val="2BEF1706"/>
    <w:rsid w:val="56F100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2016-07-24T05:48:00Z</dcterms:created>
  <dc:creator>DELL</dc:creator>
  <cp:lastModifiedBy>Administrator</cp:lastModifiedBy>
  <dcterms:modified xsi:type="dcterms:W3CDTF">2016-07-24T06:59:51Z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