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146C6">
      <w:pPr>
        <w:widowControl/>
        <w:jc w:val="center"/>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安徽城市管理职业学院</w:t>
      </w:r>
      <w:r>
        <w:rPr>
          <w:rFonts w:hint="eastAsia" w:ascii="黑体" w:hAnsi="黑体" w:eastAsia="黑体" w:cs="黑体"/>
          <w:color w:val="000000" w:themeColor="text1"/>
          <w:kern w:val="0"/>
          <w:sz w:val="32"/>
          <w:szCs w:val="32"/>
          <w14:textFill>
            <w14:solidFill>
              <w14:schemeClr w14:val="tx1"/>
            </w14:solidFill>
          </w14:textFill>
        </w:rPr>
        <w:t>对外交流中心过渡用房</w:t>
      </w:r>
    </w:p>
    <w:p w14:paraId="64748E0A">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窗帘定制及安装报价单</w:t>
      </w:r>
    </w:p>
    <w:tbl>
      <w:tblPr>
        <w:tblStyle w:val="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695"/>
        <w:gridCol w:w="1180"/>
        <w:gridCol w:w="4251"/>
        <w:gridCol w:w="1707"/>
      </w:tblGrid>
      <w:tr w14:paraId="7D62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07" w:type="dxa"/>
            <w:gridSpan w:val="5"/>
            <w:tcBorders>
              <w:top w:val="single" w:color="auto" w:sz="4" w:space="0"/>
              <w:left w:val="single" w:color="auto" w:sz="4" w:space="0"/>
              <w:bottom w:val="single" w:color="auto" w:sz="4" w:space="0"/>
              <w:right w:val="single" w:color="auto" w:sz="4" w:space="0"/>
            </w:tcBorders>
            <w:vAlign w:val="center"/>
          </w:tcPr>
          <w:p w14:paraId="4004990C">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对外交流中心过渡用房</w:t>
            </w:r>
            <w:r>
              <w:rPr>
                <w:rFonts w:hint="eastAsia" w:ascii="仿宋_GB2312" w:hAnsi="宋体" w:eastAsia="仿宋_GB2312" w:cs="宋体"/>
                <w:color w:val="000000" w:themeColor="text1"/>
                <w:kern w:val="0"/>
                <w:sz w:val="24"/>
                <w:szCs w:val="24"/>
                <w14:textFill>
                  <w14:solidFill>
                    <w14:schemeClr w14:val="tx1"/>
                  </w14:solidFill>
                </w14:textFill>
              </w:rPr>
              <w:t>窗帘定制及安装</w:t>
            </w:r>
            <w:r>
              <w:rPr>
                <w:rFonts w:hint="eastAsia" w:ascii="仿宋" w:hAnsi="仿宋" w:eastAsia="仿宋" w:cs="仿宋_GB2312"/>
                <w:color w:val="000000" w:themeColor="text1"/>
                <w:kern w:val="0"/>
                <w:sz w:val="24"/>
                <w:szCs w:val="24"/>
                <w14:textFill>
                  <w14:solidFill>
                    <w14:schemeClr w14:val="tx1"/>
                  </w14:solidFill>
                </w14:textFill>
              </w:rPr>
              <w:t>采购清单</w:t>
            </w:r>
          </w:p>
        </w:tc>
      </w:tr>
      <w:tr w14:paraId="5DF9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0323E07E">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序号</w:t>
            </w:r>
          </w:p>
        </w:tc>
        <w:tc>
          <w:tcPr>
            <w:tcW w:w="1695" w:type="dxa"/>
            <w:tcBorders>
              <w:top w:val="single" w:color="auto" w:sz="4" w:space="0"/>
              <w:left w:val="single" w:color="auto" w:sz="4" w:space="0"/>
              <w:bottom w:val="single" w:color="auto" w:sz="4" w:space="0"/>
              <w:right w:val="single" w:color="auto" w:sz="4" w:space="0"/>
            </w:tcBorders>
            <w:vAlign w:val="center"/>
          </w:tcPr>
          <w:p w14:paraId="1EF8E8F1">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服务/货物名称</w:t>
            </w:r>
          </w:p>
        </w:tc>
        <w:tc>
          <w:tcPr>
            <w:tcW w:w="1180" w:type="dxa"/>
            <w:tcBorders>
              <w:top w:val="single" w:color="auto" w:sz="4" w:space="0"/>
              <w:left w:val="single" w:color="auto" w:sz="4" w:space="0"/>
              <w:bottom w:val="single" w:color="auto" w:sz="4" w:space="0"/>
              <w:right w:val="single" w:color="auto" w:sz="4" w:space="0"/>
            </w:tcBorders>
            <w:vAlign w:val="center"/>
          </w:tcPr>
          <w:p w14:paraId="4414D14B">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数量（单位）</w:t>
            </w:r>
          </w:p>
        </w:tc>
        <w:tc>
          <w:tcPr>
            <w:tcW w:w="4251" w:type="dxa"/>
            <w:tcBorders>
              <w:top w:val="single" w:color="auto" w:sz="4" w:space="0"/>
              <w:left w:val="single" w:color="auto" w:sz="4" w:space="0"/>
              <w:bottom w:val="single" w:color="auto" w:sz="4" w:space="0"/>
              <w:right w:val="single" w:color="auto" w:sz="4" w:space="0"/>
            </w:tcBorders>
            <w:vAlign w:val="center"/>
          </w:tcPr>
          <w:p w14:paraId="3CED9810">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服务要求或货物品牌及主要参数</w:t>
            </w:r>
          </w:p>
        </w:tc>
        <w:tc>
          <w:tcPr>
            <w:tcW w:w="1707" w:type="dxa"/>
            <w:tcBorders>
              <w:top w:val="single" w:color="auto" w:sz="4" w:space="0"/>
              <w:left w:val="single" w:color="auto" w:sz="4" w:space="0"/>
              <w:bottom w:val="single" w:color="auto" w:sz="4" w:space="0"/>
              <w:right w:val="single" w:color="auto" w:sz="4" w:space="0"/>
            </w:tcBorders>
            <w:vAlign w:val="center"/>
          </w:tcPr>
          <w:p w14:paraId="55A91F53">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报价小计（元）</w:t>
            </w:r>
          </w:p>
        </w:tc>
      </w:tr>
      <w:tr w14:paraId="3C30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2D2974B4">
            <w:pP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w:t>
            </w:r>
          </w:p>
        </w:tc>
        <w:tc>
          <w:tcPr>
            <w:tcW w:w="1695" w:type="dxa"/>
            <w:tcBorders>
              <w:top w:val="single" w:color="auto" w:sz="4" w:space="0"/>
              <w:left w:val="single" w:color="auto" w:sz="4" w:space="0"/>
              <w:bottom w:val="single" w:color="auto" w:sz="4" w:space="0"/>
              <w:right w:val="single" w:color="auto" w:sz="4" w:space="0"/>
            </w:tcBorders>
            <w:vAlign w:val="center"/>
          </w:tcPr>
          <w:p w14:paraId="79D03799">
            <w:pPr>
              <w:rPr>
                <w:rFonts w:ascii="仿宋" w:hAnsi="仿宋" w:eastAsia="仿宋" w:cs="仿宋_GB2312"/>
                <w:color w:val="000000" w:themeColor="text1"/>
                <w:kern w:val="0"/>
                <w:sz w:val="24"/>
                <w:szCs w:val="24"/>
                <w14:textFill>
                  <w14:solidFill>
                    <w14:schemeClr w14:val="tx1"/>
                  </w14:solidFill>
                </w14:textFill>
              </w:rPr>
            </w:pPr>
            <w:r>
              <w:rPr>
                <w:rStyle w:val="7"/>
                <w:rFonts w:hint="default"/>
                <w:sz w:val="24"/>
                <w:szCs w:val="24"/>
                <w:lang w:bidi="ar"/>
              </w:rPr>
              <w:t>布艺窗帘</w:t>
            </w:r>
          </w:p>
        </w:tc>
        <w:tc>
          <w:tcPr>
            <w:tcW w:w="1180" w:type="dxa"/>
            <w:tcBorders>
              <w:top w:val="single" w:color="auto" w:sz="4" w:space="0"/>
              <w:left w:val="single" w:color="auto" w:sz="4" w:space="0"/>
              <w:bottom w:val="single" w:color="auto" w:sz="4" w:space="0"/>
              <w:right w:val="single" w:color="auto" w:sz="4" w:space="0"/>
            </w:tcBorders>
            <w:vAlign w:val="center"/>
          </w:tcPr>
          <w:p w14:paraId="6FC86612">
            <w:pP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1260（米）</w:t>
            </w:r>
          </w:p>
        </w:tc>
        <w:tc>
          <w:tcPr>
            <w:tcW w:w="4251" w:type="dxa"/>
            <w:tcBorders>
              <w:top w:val="single" w:color="auto" w:sz="4" w:space="0"/>
              <w:left w:val="single" w:color="auto" w:sz="4" w:space="0"/>
              <w:bottom w:val="single" w:color="auto" w:sz="4" w:space="0"/>
              <w:right w:val="single" w:color="auto" w:sz="4" w:space="0"/>
            </w:tcBorders>
            <w:vAlign w:val="center"/>
          </w:tcPr>
          <w:p w14:paraId="4C1279A4">
            <w:r>
              <w:t>1.成分:纺布艺窗帘；</w:t>
            </w:r>
          </w:p>
          <w:p w14:paraId="57E2A464">
            <w:r>
              <w:t>2.面料遮光率≥90%；</w:t>
            </w:r>
          </w:p>
          <w:p w14:paraId="3C30560B">
            <w:r>
              <w:t>3.防静电性能符合GB/T12703.1-2008 标准；</w:t>
            </w:r>
          </w:p>
          <w:p w14:paraId="43AA1B21">
            <w:r>
              <w:t>4.阻燃 B1 级；</w:t>
            </w:r>
          </w:p>
          <w:p w14:paraId="16F4A3DF">
            <w:r>
              <w:t>5.基本安全标准：符合 GB18401-2010 C</w:t>
            </w:r>
          </w:p>
          <w:p w14:paraId="7535791A">
            <w:r>
              <w:t>类或更高标准（甲醛含量、可分解致癌芳香胺染料、含氯苯酚、有机锡化合物、PH 值、异味、耐水色牢度、耐干摩擦色牢度、可萃取重金属含量）。（投标文件中提供检第三方有权机构出具的检测报告扫描件）</w:t>
            </w:r>
          </w:p>
          <w:p w14:paraId="1712EFEE">
            <w:r>
              <w:t>6.单位面积质量（g/㎡）：≥320g/㎡</w:t>
            </w:r>
          </w:p>
          <w:p w14:paraId="45416AAA">
            <w:r>
              <w:t>7.制作工艺要求：</w:t>
            </w:r>
          </w:p>
          <w:p w14:paraId="3614A3D9">
            <w:r>
              <w:t>（1）1:2 褶皱比例；</w:t>
            </w:r>
            <w:r>
              <w:rPr>
                <w:rFonts w:hint="eastAsia"/>
              </w:rPr>
              <w:t>（例如杆长1米，窗帘布宽为2米）。</w:t>
            </w:r>
          </w:p>
          <w:p w14:paraId="2C234DA5">
            <w:r>
              <w:t>（2）两边 3cm 折边；下边距离地面 5cm；高温挂烫定型；</w:t>
            </w:r>
          </w:p>
          <w:p w14:paraId="6F7F5F4C">
            <w:r>
              <w:t>（3）线迹均匀平直，侧边不扭斜；缝纫线与布料颜色相同或相近；</w:t>
            </w:r>
          </w:p>
          <w:p w14:paraId="5278276F">
            <w:r>
              <w:t>（4）拼接处不扭斜，拼缝锁三线；</w:t>
            </w:r>
          </w:p>
          <w:p w14:paraId="66B9485F">
            <w:r>
              <w:t>（</w:t>
            </w:r>
            <w:r>
              <w:rPr>
                <w:rFonts w:hint="eastAsia"/>
              </w:rPr>
              <w:t>5</w:t>
            </w:r>
            <w:r>
              <w:t>）配窗帘同款颜色材质绑带，绑带缝制在窗帘上</w:t>
            </w:r>
            <w:r>
              <w:rPr>
                <w:rFonts w:hint="eastAsia"/>
              </w:rPr>
              <w:t>；</w:t>
            </w:r>
          </w:p>
          <w:p w14:paraId="3629DA84">
            <w:r>
              <w:t>（</w:t>
            </w:r>
            <w:r>
              <w:rPr>
                <w:rFonts w:hint="eastAsia"/>
              </w:rPr>
              <w:t>6</w:t>
            </w:r>
            <w:r>
              <w:t xml:space="preserve">）不得弄脏和损坏布料。 </w:t>
            </w:r>
          </w:p>
          <w:p w14:paraId="225C928D">
            <w:pPr>
              <w:rPr>
                <w:rFonts w:ascii="仿宋" w:hAnsi="仿宋" w:eastAsia="仿宋" w:cs="仿宋_GB2312"/>
                <w:color w:val="000000" w:themeColor="text1"/>
                <w:kern w:val="0"/>
                <w:sz w:val="24"/>
                <w:szCs w:val="24"/>
                <w14:textFill>
                  <w14:solidFill>
                    <w14:schemeClr w14:val="tx1"/>
                  </w14:solidFill>
                </w14:textFill>
              </w:rPr>
            </w:pPr>
            <w:r>
              <w:t>（7）</w:t>
            </w:r>
            <w:r>
              <w:rPr>
                <w:rFonts w:hint="eastAsia"/>
              </w:rPr>
              <w:t>窗帘高约为</w:t>
            </w:r>
            <w:r>
              <w:t>3.</w:t>
            </w:r>
            <w:r>
              <w:rPr>
                <w:rFonts w:hint="eastAsia"/>
                <w:lang w:val="en-US" w:eastAsia="zh-CN"/>
              </w:rPr>
              <w:t>0</w:t>
            </w:r>
            <w:r>
              <w:t>5</w:t>
            </w:r>
            <w:r>
              <w:rPr>
                <w:rFonts w:hint="eastAsia"/>
              </w:rPr>
              <w:t>米，正负5c</w:t>
            </w:r>
            <w:r>
              <w:t>m</w:t>
            </w:r>
            <w:r>
              <w:rPr>
                <w:rFonts w:hint="eastAsia"/>
              </w:rPr>
              <w:t>。</w:t>
            </w:r>
          </w:p>
        </w:tc>
        <w:tc>
          <w:tcPr>
            <w:tcW w:w="1707" w:type="dxa"/>
            <w:tcBorders>
              <w:top w:val="single" w:color="auto" w:sz="4" w:space="0"/>
              <w:left w:val="single" w:color="auto" w:sz="4" w:space="0"/>
              <w:bottom w:val="single" w:color="auto" w:sz="4" w:space="0"/>
              <w:right w:val="single" w:color="auto" w:sz="4" w:space="0"/>
            </w:tcBorders>
            <w:vAlign w:val="center"/>
          </w:tcPr>
          <w:p w14:paraId="253B07C4">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r>
      <w:tr w14:paraId="6292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147ADFBA">
            <w:pP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w:t>
            </w:r>
          </w:p>
        </w:tc>
        <w:tc>
          <w:tcPr>
            <w:tcW w:w="1695" w:type="dxa"/>
            <w:tcBorders>
              <w:top w:val="single" w:color="auto" w:sz="4" w:space="0"/>
              <w:left w:val="single" w:color="auto" w:sz="4" w:space="0"/>
              <w:bottom w:val="single" w:color="auto" w:sz="4" w:space="0"/>
              <w:right w:val="single" w:color="auto" w:sz="4" w:space="0"/>
            </w:tcBorders>
            <w:vAlign w:val="center"/>
          </w:tcPr>
          <w:p w14:paraId="539130CF">
            <w:pPr>
              <w:rPr>
                <w:rFonts w:ascii="仿宋" w:hAnsi="仿宋" w:eastAsia="仿宋" w:cs="仿宋_GB2312"/>
                <w:color w:val="000000" w:themeColor="text1"/>
                <w:kern w:val="0"/>
                <w:sz w:val="24"/>
                <w:szCs w:val="24"/>
                <w14:textFill>
                  <w14:solidFill>
                    <w14:schemeClr w14:val="tx1"/>
                  </w14:solidFill>
                </w14:textFill>
              </w:rPr>
            </w:pPr>
            <w:r>
              <w:rPr>
                <w:rFonts w:ascii="仿宋" w:hAnsi="仿宋" w:eastAsia="仿宋" w:cs="仿宋_GB2312"/>
                <w:color w:val="000000" w:themeColor="text1"/>
                <w:kern w:val="0"/>
                <w:sz w:val="24"/>
                <w:szCs w:val="24"/>
                <w14:textFill>
                  <w14:solidFill>
                    <w14:schemeClr w14:val="tx1"/>
                  </w14:solidFill>
                </w14:textFill>
              </w:rPr>
              <w:t>轨道</w:t>
            </w:r>
          </w:p>
        </w:tc>
        <w:tc>
          <w:tcPr>
            <w:tcW w:w="1180" w:type="dxa"/>
            <w:tcBorders>
              <w:top w:val="single" w:color="auto" w:sz="4" w:space="0"/>
              <w:left w:val="single" w:color="auto" w:sz="4" w:space="0"/>
              <w:bottom w:val="single" w:color="auto" w:sz="4" w:space="0"/>
              <w:right w:val="single" w:color="auto" w:sz="4" w:space="0"/>
            </w:tcBorders>
            <w:vAlign w:val="center"/>
          </w:tcPr>
          <w:p w14:paraId="57C4EC84">
            <w:pP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630（米）</w:t>
            </w:r>
          </w:p>
        </w:tc>
        <w:tc>
          <w:tcPr>
            <w:tcW w:w="4251" w:type="dxa"/>
            <w:tcBorders>
              <w:top w:val="single" w:color="auto" w:sz="4" w:space="0"/>
              <w:left w:val="single" w:color="auto" w:sz="4" w:space="0"/>
              <w:bottom w:val="single" w:color="auto" w:sz="4" w:space="0"/>
              <w:right w:val="single" w:color="auto" w:sz="4" w:space="0"/>
            </w:tcBorders>
            <w:vAlign w:val="center"/>
          </w:tcPr>
          <w:p w14:paraId="46281982">
            <w:pPr>
              <w:rPr>
                <w:rFonts w:ascii="Times New Roman" w:hAnsi="Times New Roman" w:eastAsia="宋体" w:cs="Times New Roman"/>
              </w:rPr>
            </w:pPr>
            <w:r>
              <w:rPr>
                <w:rFonts w:hint="eastAsia" w:ascii="Times New Roman" w:hAnsi="Times New Roman" w:eastAsia="宋体" w:cs="Times New Roman"/>
              </w:rPr>
              <w:t>1.材质：合金型材、壁厚≥1.2mm；</w:t>
            </w:r>
            <w:r>
              <w:rPr>
                <w:rFonts w:hint="eastAsia" w:ascii="Times New Roman" w:hAnsi="Times New Roman" w:eastAsia="宋体" w:cs="Times New Roman"/>
              </w:rPr>
              <w:br w:type="textWrapping"/>
            </w:r>
            <w:r>
              <w:rPr>
                <w:rFonts w:hint="eastAsia" w:ascii="Times New Roman" w:hAnsi="Times New Roman" w:eastAsia="宋体" w:cs="Times New Roman"/>
              </w:rPr>
              <w:t>2.抗拉强度 Rm (N/mm²)≥220；断后伸长率 A50(%)≥10.5；耐盐酸性：复合膜表面应无气泡或其他明显变化；耐碱性：保护等级不小于 9.5 级；耐溶剂性：型材表面不露出阳极氧化膜；耐盐雾试验（480h）≥9 级。</w:t>
            </w:r>
            <w:r>
              <w:rPr>
                <w:rFonts w:hint="eastAsia" w:ascii="Times New Roman" w:hAnsi="Times New Roman" w:eastAsia="宋体" w:cs="Times New Roman"/>
              </w:rPr>
              <w:br w:type="textWrapping"/>
            </w:r>
            <w:r>
              <w:rPr>
                <w:rFonts w:hint="eastAsia" w:ascii="Times New Roman" w:hAnsi="Times New Roman" w:eastAsia="宋体" w:cs="Times New Roman"/>
              </w:rPr>
              <w:t>3.内部配置：静音树脂轮360度旋转，内置纳米静音条，摩擦系数低，运行无噪音；A3钢材电镀吊圈，铝合金安装码，不锈钢卡扣，304堵头滚轮（8个/m），封口（2个），安装码（2个/m）。</w:t>
            </w:r>
            <w:r>
              <w:rPr>
                <w:rFonts w:hint="eastAsia" w:ascii="Times New Roman" w:hAnsi="Times New Roman" w:eastAsia="宋体" w:cs="Times New Roman"/>
              </w:rPr>
              <w:br w:type="textWrapping"/>
            </w:r>
            <w:r>
              <w:rPr>
                <w:rFonts w:hint="eastAsia" w:ascii="Times New Roman" w:hAnsi="Times New Roman" w:eastAsia="宋体" w:cs="Times New Roman"/>
              </w:rPr>
              <w:t>4.滑轮：单个安全负荷≥1.5KG，每米承重≥10kg，维氏硬度≥10HW，喷涂膜厚≥40um，耐磨耐用。</w:t>
            </w:r>
          </w:p>
          <w:p w14:paraId="294D730A">
            <w:pPr>
              <w:rPr>
                <w:rFonts w:ascii="Times New Roman" w:hAnsi="Times New Roman" w:eastAsia="宋体" w:cs="Times New Roman"/>
              </w:rPr>
            </w:pPr>
            <w:r>
              <w:rPr>
                <w:rFonts w:hint="eastAsia" w:ascii="Times New Roman" w:hAnsi="Times New Roman" w:eastAsia="宋体" w:cs="Times New Roman"/>
              </w:rPr>
              <w:t>POM聚甲醛硬滑材料，确保静音顺畅，使用寿命长（10000-15000次往复磨损）。</w:t>
            </w:r>
          </w:p>
          <w:p w14:paraId="4D428059">
            <w:pPr>
              <w:rPr>
                <w:rFonts w:ascii="仿宋" w:hAnsi="仿宋" w:eastAsia="仿宋" w:cs="仿宋_GB2312"/>
                <w:color w:val="000000" w:themeColor="text1"/>
                <w:kern w:val="0"/>
                <w:sz w:val="24"/>
                <w:szCs w:val="24"/>
                <w14:textFill>
                  <w14:solidFill>
                    <w14:schemeClr w14:val="tx1"/>
                  </w14:solidFill>
                </w14:textFill>
              </w:rPr>
            </w:pPr>
            <w:r>
              <w:rPr>
                <w:rFonts w:hint="eastAsia" w:ascii="Times New Roman" w:hAnsi="Times New Roman" w:eastAsia="宋体" w:cs="Times New Roman"/>
              </w:rPr>
              <w:t>纳米消音条配定向滑轮，触动式安装码（1.2mm钢板制），固定力好，耐盐雾腐蚀NSS365h≥9级。</w:t>
            </w:r>
          </w:p>
        </w:tc>
        <w:tc>
          <w:tcPr>
            <w:tcW w:w="1707" w:type="dxa"/>
            <w:tcBorders>
              <w:top w:val="single" w:color="auto" w:sz="4" w:space="0"/>
              <w:left w:val="single" w:color="auto" w:sz="4" w:space="0"/>
              <w:bottom w:val="single" w:color="auto" w:sz="4" w:space="0"/>
              <w:right w:val="single" w:color="auto" w:sz="4" w:space="0"/>
            </w:tcBorders>
            <w:vAlign w:val="center"/>
          </w:tcPr>
          <w:p w14:paraId="27F9E356">
            <w:pPr>
              <w:ind w:firstLine="480" w:firstLineChars="200"/>
              <w:jc w:val="center"/>
              <w:rPr>
                <w:rFonts w:hint="default" w:ascii="仿宋" w:hAnsi="仿宋" w:eastAsia="仿宋" w:cs="仿宋_GB2312"/>
                <w:color w:val="000000" w:themeColor="text1"/>
                <w:kern w:val="0"/>
                <w:sz w:val="24"/>
                <w:szCs w:val="24"/>
                <w:lang w:val="en-US" w:eastAsia="zh-CN"/>
                <w14:textFill>
                  <w14:solidFill>
                    <w14:schemeClr w14:val="tx1"/>
                  </w14:solidFill>
                </w14:textFill>
              </w:rPr>
            </w:pPr>
            <w:r>
              <w:rPr>
                <w:rFonts w:hint="eastAsia" w:ascii="仿宋" w:hAnsi="仿宋" w:eastAsia="仿宋" w:cs="仿宋_GB2312"/>
                <w:color w:val="000000" w:themeColor="text1"/>
                <w:kern w:val="0"/>
                <w:sz w:val="24"/>
                <w:szCs w:val="24"/>
                <w:lang w:val="en-US" w:eastAsia="zh-CN"/>
                <w14:textFill>
                  <w14:solidFill>
                    <w14:schemeClr w14:val="tx1"/>
                  </w14:solidFill>
                </w14:textFill>
              </w:rPr>
              <w:t xml:space="preserve">  </w:t>
            </w:r>
          </w:p>
        </w:tc>
      </w:tr>
      <w:tr w14:paraId="2EE5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60CFE00B">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报价要求</w:t>
            </w:r>
          </w:p>
        </w:tc>
        <w:tc>
          <w:tcPr>
            <w:tcW w:w="8833" w:type="dxa"/>
            <w:gridSpan w:val="4"/>
            <w:tcBorders>
              <w:top w:val="single" w:color="auto" w:sz="4" w:space="0"/>
              <w:left w:val="single" w:color="auto" w:sz="4" w:space="0"/>
              <w:bottom w:val="single" w:color="auto" w:sz="4" w:space="0"/>
              <w:right w:val="single" w:color="auto" w:sz="4" w:space="0"/>
            </w:tcBorders>
            <w:vAlign w:val="center"/>
          </w:tcPr>
          <w:p w14:paraId="7C916B13">
            <w:pPr>
              <w:jc w:val="left"/>
              <w:rPr>
                <w:rFonts w:ascii="仿宋" w:hAnsi="仿宋" w:eastAsia="仿宋_GB2312" w:cs="仿宋_GB2312"/>
                <w:color w:val="000000" w:themeColor="text1"/>
                <w:kern w:val="0"/>
                <w:sz w:val="24"/>
                <w:szCs w:val="24"/>
                <w14:textFill>
                  <w14:solidFill>
                    <w14:schemeClr w14:val="tx1"/>
                  </w14:solidFill>
                </w14:textFill>
              </w:rPr>
            </w:pPr>
            <w:r>
              <w:rPr>
                <w:rFonts w:hint="eastAsia" w:ascii="仿宋" w:hAnsi="仿宋" w:eastAsia="仿宋_GB2312" w:cs="仿宋_GB2312"/>
                <w:color w:val="000000" w:themeColor="text1"/>
                <w:kern w:val="0"/>
                <w:sz w:val="24"/>
                <w:szCs w:val="24"/>
                <w14:textFill>
                  <w14:solidFill>
                    <w14:schemeClr w14:val="tx1"/>
                  </w14:solidFill>
                </w14:textFill>
              </w:rPr>
              <w:t>本项目报总价及分项单价，总价作为定标的依据，成交单价作为据实结算的依据。总价包括完成本项目并通过验收所需的全部费用，包含但不限于主材料、 辅材料，采购及安装的制作、采购、运输至采购人指定地点、安装、调试、垃圾 清运、垃圾外运、成品保护、耗材、质保（含质保期内的免费维保）、人工、利润、税金、验收等所有费用。货物需求表中列明的货物采购数量为暂定量，供应商须综合考虑成交后可能出现的实际供货量与谈判文件暂定量之间的差距，后期结算以实际验收数量为准，但不超过表中数量，最终结算总金额不超过合同价。</w:t>
            </w:r>
          </w:p>
        </w:tc>
      </w:tr>
      <w:tr w14:paraId="2B59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14114481">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w:t>
            </w:r>
            <w:r>
              <w:rPr>
                <w:rFonts w:hint="eastAsia" w:ascii="仿宋" w:hAnsi="仿宋" w:eastAsia="仿宋" w:cs="仿宋_GB2312"/>
                <w:color w:val="000000" w:themeColor="text1"/>
                <w:kern w:val="0"/>
                <w:sz w:val="24"/>
                <w:szCs w:val="24"/>
                <w14:textFill>
                  <w14:solidFill>
                    <w14:schemeClr w14:val="tx1"/>
                  </w14:solidFill>
                </w14:textFill>
              </w:rPr>
              <w:t>其他要求</w:t>
            </w:r>
          </w:p>
        </w:tc>
        <w:tc>
          <w:tcPr>
            <w:tcW w:w="8833" w:type="dxa"/>
            <w:gridSpan w:val="4"/>
            <w:tcBorders>
              <w:top w:val="single" w:color="auto" w:sz="4" w:space="0"/>
              <w:left w:val="single" w:color="auto" w:sz="4" w:space="0"/>
              <w:bottom w:val="single" w:color="auto" w:sz="4" w:space="0"/>
              <w:right w:val="single" w:color="auto" w:sz="4" w:space="0"/>
            </w:tcBorders>
            <w:vAlign w:val="center"/>
          </w:tcPr>
          <w:p w14:paraId="64F5C8A3">
            <w:pPr>
              <w:jc w:val="left"/>
              <w:rPr>
                <w:rFonts w:ascii="仿宋" w:hAnsi="仿宋" w:eastAsia="仿宋_GB2312" w:cs="仿宋_GB2312"/>
                <w:color w:val="000000" w:themeColor="text1"/>
                <w:kern w:val="0"/>
                <w:sz w:val="24"/>
                <w:szCs w:val="24"/>
                <w14:textFill>
                  <w14:solidFill>
                    <w14:schemeClr w14:val="tx1"/>
                  </w14:solidFill>
                </w14:textFill>
              </w:rPr>
            </w:pPr>
            <w:r>
              <w:rPr>
                <w:rFonts w:hint="eastAsia" w:ascii="仿宋" w:hAnsi="仿宋" w:eastAsia="仿宋_GB2312" w:cs="仿宋_GB2312"/>
                <w:color w:val="000000" w:themeColor="text1"/>
                <w:kern w:val="0"/>
                <w:sz w:val="24"/>
                <w:szCs w:val="24"/>
                <w14:textFill>
                  <w14:solidFill>
                    <w14:schemeClr w14:val="tx1"/>
                  </w14:solidFill>
                </w14:textFill>
              </w:rPr>
              <w:t>1、采购人有权委托有相关资质的第三方质检机构对成交供应商产品的原材料和成品进行抽样 检测，其费用由成交供应商承担并支付给检测机构，此费用包含在投标报价中。</w:t>
            </w:r>
          </w:p>
          <w:p w14:paraId="293513EA">
            <w:pPr>
              <w:jc w:val="left"/>
              <w:rPr>
                <w:rFonts w:ascii="仿宋" w:hAnsi="仿宋" w:eastAsia="仿宋_GB2312" w:cs="仿宋_GB2312"/>
                <w:color w:val="000000" w:themeColor="text1"/>
                <w:kern w:val="0"/>
                <w:sz w:val="24"/>
                <w:szCs w:val="24"/>
                <w14:textFill>
                  <w14:solidFill>
                    <w14:schemeClr w14:val="tx1"/>
                  </w14:solidFill>
                </w14:textFill>
              </w:rPr>
            </w:pPr>
            <w:r>
              <w:rPr>
                <w:rFonts w:hint="eastAsia" w:ascii="仿宋" w:hAnsi="仿宋" w:eastAsia="仿宋_GB2312" w:cs="仿宋_GB2312"/>
                <w:color w:val="000000" w:themeColor="text1"/>
                <w:kern w:val="0"/>
                <w:sz w:val="24"/>
                <w:szCs w:val="24"/>
                <w14:textFill>
                  <w14:solidFill>
                    <w14:schemeClr w14:val="tx1"/>
                  </w14:solidFill>
                </w14:textFill>
              </w:rPr>
              <w:t>1）成交供应商须在生产过程中，原材料准备齐后通知采购人，由采购人对原材料进行现场抽检。</w:t>
            </w:r>
            <w:r>
              <w:rPr>
                <w:rFonts w:hint="eastAsia" w:ascii="仿宋" w:hAnsi="仿宋" w:eastAsia="仿宋_GB2312" w:cs="仿宋_GB2312"/>
                <w:color w:val="000000" w:themeColor="text1"/>
                <w:kern w:val="0"/>
                <w:sz w:val="24"/>
                <w:szCs w:val="24"/>
                <w:lang w:val="en-US" w:eastAsia="zh-CN"/>
                <w14:textFill>
                  <w14:solidFill>
                    <w14:schemeClr w14:val="tx1"/>
                  </w14:solidFill>
                </w14:textFill>
              </w:rPr>
              <w:t>抽检完成</w:t>
            </w:r>
            <w:r>
              <w:rPr>
                <w:rFonts w:hint="eastAsia" w:ascii="仿宋" w:hAnsi="仿宋" w:eastAsia="仿宋_GB2312" w:cs="仿宋_GB2312"/>
                <w:color w:val="000000" w:themeColor="text1"/>
                <w:kern w:val="0"/>
                <w:sz w:val="24"/>
                <w:szCs w:val="24"/>
                <w14:textFill>
                  <w14:solidFill>
                    <w14:schemeClr w14:val="tx1"/>
                  </w14:solidFill>
                </w14:textFill>
              </w:rPr>
              <w:t>后成交供应商方可继续生产；</w:t>
            </w:r>
          </w:p>
          <w:p w14:paraId="60918095">
            <w:pPr>
              <w:jc w:val="left"/>
              <w:rPr>
                <w:rFonts w:ascii="仿宋" w:hAnsi="仿宋" w:eastAsia="仿宋_GB2312" w:cs="仿宋_GB2312"/>
                <w:color w:val="000000" w:themeColor="text1"/>
                <w:kern w:val="0"/>
                <w:sz w:val="24"/>
                <w:szCs w:val="24"/>
                <w14:textFill>
                  <w14:solidFill>
                    <w14:schemeClr w14:val="tx1"/>
                  </w14:solidFill>
                </w14:textFill>
              </w:rPr>
            </w:pPr>
            <w:r>
              <w:rPr>
                <w:rFonts w:hint="eastAsia" w:ascii="仿宋" w:hAnsi="仿宋" w:eastAsia="仿宋_GB2312" w:cs="仿宋_GB2312"/>
                <w:color w:val="000000" w:themeColor="text1"/>
                <w:kern w:val="0"/>
                <w:sz w:val="24"/>
                <w:szCs w:val="24"/>
                <w14:textFill>
                  <w14:solidFill>
                    <w14:schemeClr w14:val="tx1"/>
                  </w14:solidFill>
                </w14:textFill>
              </w:rPr>
              <w:t>2）</w:t>
            </w:r>
            <w:r>
              <w:rPr>
                <w:rFonts w:hint="eastAsia" w:ascii="仿宋" w:hAnsi="仿宋" w:eastAsia="仿宋_GB2312" w:cs="仿宋_GB2312"/>
                <w:b/>
                <w:bCs/>
                <w:color w:val="000000" w:themeColor="text1"/>
                <w:kern w:val="0"/>
                <w:sz w:val="24"/>
                <w:szCs w:val="24"/>
                <w14:textFill>
                  <w14:solidFill>
                    <w14:schemeClr w14:val="tx1"/>
                  </w14:solidFill>
                </w14:textFill>
              </w:rPr>
              <w:t>在成交供应商供货时采购人和第三方质检机构将对所送货物（成品）进行抽检。检测合格后采购人才给予办理验收手续</w:t>
            </w:r>
            <w:r>
              <w:rPr>
                <w:rFonts w:hint="eastAsia" w:ascii="仿宋" w:hAnsi="仿宋" w:eastAsia="仿宋_GB2312" w:cs="仿宋_GB2312"/>
                <w:color w:val="000000" w:themeColor="text1"/>
                <w:kern w:val="0"/>
                <w:sz w:val="24"/>
                <w:szCs w:val="24"/>
                <w14:textFill>
                  <w14:solidFill>
                    <w14:schemeClr w14:val="tx1"/>
                  </w14:solidFill>
                </w14:textFill>
              </w:rPr>
              <w:t>；</w:t>
            </w:r>
          </w:p>
          <w:p w14:paraId="0B751BD9">
            <w:pPr>
              <w:jc w:val="left"/>
              <w:rPr>
                <w:rFonts w:ascii="仿宋" w:hAnsi="仿宋" w:eastAsia="仿宋_GB2312" w:cs="仿宋_GB2312"/>
                <w:color w:val="000000" w:themeColor="text1"/>
                <w:kern w:val="0"/>
                <w:sz w:val="24"/>
                <w:szCs w:val="24"/>
                <w14:textFill>
                  <w14:solidFill>
                    <w14:schemeClr w14:val="tx1"/>
                  </w14:solidFill>
                </w14:textFill>
              </w:rPr>
            </w:pPr>
            <w:r>
              <w:rPr>
                <w:rFonts w:hint="eastAsia" w:ascii="仿宋" w:hAnsi="仿宋" w:eastAsia="仿宋_GB2312" w:cs="仿宋_GB2312"/>
                <w:color w:val="000000" w:themeColor="text1"/>
                <w:kern w:val="0"/>
                <w:sz w:val="24"/>
                <w:szCs w:val="24"/>
                <w14:textFill>
                  <w14:solidFill>
                    <w14:schemeClr w14:val="tx1"/>
                  </w14:solidFill>
                </w14:textFill>
              </w:rPr>
              <w:t>3）上述检测所产生的一切损失（包括因检测损坏的原材料和成品）及费用（包括检测费、</w:t>
            </w:r>
            <w:bookmarkStart w:id="0" w:name="_GoBack"/>
            <w:bookmarkEnd w:id="0"/>
            <w:r>
              <w:rPr>
                <w:rFonts w:hint="eastAsia" w:ascii="仿宋" w:hAnsi="仿宋" w:eastAsia="仿宋_GB2312" w:cs="仿宋_GB2312"/>
                <w:color w:val="000000" w:themeColor="text1"/>
                <w:kern w:val="0"/>
                <w:sz w:val="24"/>
                <w:szCs w:val="24"/>
                <w14:textFill>
                  <w14:solidFill>
                    <w14:schemeClr w14:val="tx1"/>
                  </w14:solidFill>
                </w14:textFill>
              </w:rPr>
              <w:t>损 坏的原材料、成品的成本费以及因现场抽检产生的交通费等一切费用），均由成交供应商承担；</w:t>
            </w:r>
          </w:p>
          <w:p w14:paraId="4967D82A">
            <w:pPr>
              <w:jc w:val="left"/>
              <w:rPr>
                <w:rFonts w:ascii="仿宋" w:hAnsi="仿宋" w:eastAsia="仿宋_GB2312" w:cs="仿宋_GB2312"/>
                <w:color w:val="000000" w:themeColor="text1"/>
                <w:kern w:val="0"/>
                <w:sz w:val="24"/>
                <w:szCs w:val="24"/>
                <w14:textFill>
                  <w14:solidFill>
                    <w14:schemeClr w14:val="tx1"/>
                  </w14:solidFill>
                </w14:textFill>
              </w:rPr>
            </w:pPr>
            <w:r>
              <w:rPr>
                <w:rFonts w:hint="eastAsia" w:ascii="仿宋" w:hAnsi="仿宋" w:eastAsia="仿宋_GB2312" w:cs="仿宋_GB2312"/>
                <w:color w:val="000000" w:themeColor="text1"/>
                <w:kern w:val="0"/>
                <w:sz w:val="24"/>
                <w:szCs w:val="24"/>
                <w14:textFill>
                  <w14:solidFill>
                    <w14:schemeClr w14:val="tx1"/>
                  </w14:solidFill>
                </w14:textFill>
              </w:rPr>
              <w:t>4）成交供应商确保所供货物及原材料通过相关检测和验收。因检测不合格导致的停产、返工、 拒绝验收等所产生的一切后果均由供应商自行承担。</w:t>
            </w:r>
          </w:p>
          <w:p w14:paraId="1203D9C6">
            <w:pPr>
              <w:jc w:val="left"/>
              <w:rPr>
                <w:rFonts w:ascii="仿宋" w:hAnsi="仿宋" w:eastAsia="仿宋_GB2312" w:cs="仿宋_GB2312"/>
                <w:color w:val="000000" w:themeColor="text1"/>
                <w:kern w:val="0"/>
                <w:sz w:val="24"/>
                <w:szCs w:val="24"/>
                <w14:textFill>
                  <w14:solidFill>
                    <w14:schemeClr w14:val="tx1"/>
                  </w14:solidFill>
                </w14:textFill>
              </w:rPr>
            </w:pPr>
            <w:r>
              <w:rPr>
                <w:rFonts w:hint="eastAsia" w:ascii="仿宋" w:hAnsi="仿宋" w:eastAsia="仿宋_GB2312" w:cs="仿宋_GB2312"/>
                <w:color w:val="000000" w:themeColor="text1"/>
                <w:kern w:val="0"/>
                <w:sz w:val="24"/>
                <w:szCs w:val="24"/>
                <w14:textFill>
                  <w14:solidFill>
                    <w14:schemeClr w14:val="tx1"/>
                  </w14:solidFill>
                </w14:textFill>
              </w:rPr>
              <w:t>2、如有必要，采购人将邀请环保部门进行现场环境检测，并出具检测报告。</w:t>
            </w:r>
          </w:p>
          <w:p w14:paraId="587CEF90">
            <w:pPr>
              <w:jc w:val="left"/>
              <w:rPr>
                <w:rFonts w:hint="eastAsia" w:ascii="仿宋" w:hAnsi="仿宋" w:eastAsia="仿宋_GB2312" w:cs="仿宋_GB2312"/>
                <w:color w:val="000000" w:themeColor="text1"/>
                <w:kern w:val="0"/>
                <w:sz w:val="24"/>
                <w:szCs w:val="24"/>
                <w14:textFill>
                  <w14:solidFill>
                    <w14:schemeClr w14:val="tx1"/>
                  </w14:solidFill>
                </w14:textFill>
              </w:rPr>
            </w:pPr>
            <w:r>
              <w:rPr>
                <w:rFonts w:hint="eastAsia" w:ascii="仿宋" w:hAnsi="仿宋" w:eastAsia="仿宋_GB2312" w:cs="仿宋_GB2312"/>
                <w:color w:val="000000" w:themeColor="text1"/>
                <w:kern w:val="0"/>
                <w:sz w:val="24"/>
                <w:szCs w:val="24"/>
                <w14:textFill>
                  <w14:solidFill>
                    <w14:schemeClr w14:val="tx1"/>
                  </w14:solidFill>
                </w14:textFill>
              </w:rPr>
              <w:t>3、所投产品及原材料须符合国家及行业标准。</w:t>
            </w:r>
          </w:p>
        </w:tc>
      </w:tr>
      <w:tr w14:paraId="65FC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469A79C3">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备注</w:t>
            </w:r>
          </w:p>
        </w:tc>
        <w:tc>
          <w:tcPr>
            <w:tcW w:w="8833" w:type="dxa"/>
            <w:gridSpan w:val="4"/>
            <w:tcBorders>
              <w:top w:val="single" w:color="auto" w:sz="4" w:space="0"/>
              <w:left w:val="single" w:color="auto" w:sz="4" w:space="0"/>
              <w:bottom w:val="single" w:color="auto" w:sz="4" w:space="0"/>
              <w:right w:val="single" w:color="auto" w:sz="4" w:space="0"/>
            </w:tcBorders>
            <w:vAlign w:val="center"/>
          </w:tcPr>
          <w:p w14:paraId="6E48FDB8">
            <w:pPr>
              <w:jc w:val="left"/>
              <w:rPr>
                <w:rFonts w:ascii="仿宋" w:hAnsi="仿宋" w:eastAsia="仿宋_GB2312" w:cs="仿宋_GB2312"/>
                <w:color w:val="000000" w:themeColor="text1"/>
                <w:kern w:val="0"/>
                <w:sz w:val="24"/>
                <w:szCs w:val="24"/>
                <w14:textFill>
                  <w14:solidFill>
                    <w14:schemeClr w14:val="tx1"/>
                  </w14:solidFill>
                </w14:textFill>
              </w:rPr>
            </w:pPr>
            <w:r>
              <w:rPr>
                <w:rFonts w:ascii="仿宋" w:hAnsi="仿宋" w:eastAsia="仿宋_GB2312" w:cs="仿宋_GB2312"/>
                <w:color w:val="000000" w:themeColor="text1"/>
                <w:kern w:val="0"/>
                <w:sz w:val="24"/>
                <w:szCs w:val="24"/>
                <w14:textFill>
                  <w14:solidFill>
                    <w14:schemeClr w14:val="tx1"/>
                  </w14:solidFill>
                </w14:textFill>
              </w:rPr>
              <w:t>1</w:t>
            </w:r>
            <w:r>
              <w:rPr>
                <w:rFonts w:hint="eastAsia" w:ascii="仿宋" w:hAnsi="仿宋" w:eastAsia="仿宋_GB2312" w:cs="仿宋_GB2312"/>
                <w:color w:val="000000" w:themeColor="text1"/>
                <w:kern w:val="0"/>
                <w:sz w:val="24"/>
                <w:szCs w:val="24"/>
                <w14:textFill>
                  <w14:solidFill>
                    <w14:schemeClr w14:val="tx1"/>
                  </w14:solidFill>
                </w14:textFill>
              </w:rPr>
              <w:t>.</w:t>
            </w:r>
            <w:r>
              <w:rPr>
                <w:rFonts w:ascii="仿宋" w:hAnsi="仿宋" w:eastAsia="仿宋_GB2312" w:cs="仿宋_GB2312"/>
                <w:color w:val="000000" w:themeColor="text1"/>
                <w:kern w:val="0"/>
                <w:sz w:val="24"/>
                <w:szCs w:val="24"/>
                <w14:textFill>
                  <w14:solidFill>
                    <w14:schemeClr w14:val="tx1"/>
                  </w14:solidFill>
                </w14:textFill>
              </w:rPr>
              <w:t>报价单包含安装辅材、人工等费用。</w:t>
            </w:r>
          </w:p>
          <w:p w14:paraId="71032F65">
            <w:pPr>
              <w:jc w:val="left"/>
              <w:rPr>
                <w:rFonts w:ascii="仿宋" w:hAnsi="仿宋" w:eastAsia="仿宋_GB2312" w:cs="仿宋_GB2312"/>
                <w:color w:val="000000" w:themeColor="text1"/>
                <w:kern w:val="0"/>
                <w:sz w:val="24"/>
                <w:szCs w:val="24"/>
                <w14:textFill>
                  <w14:solidFill>
                    <w14:schemeClr w14:val="tx1"/>
                  </w14:solidFill>
                </w14:textFill>
              </w:rPr>
            </w:pPr>
            <w:r>
              <w:rPr>
                <w:rFonts w:ascii="仿宋" w:hAnsi="仿宋" w:eastAsia="仿宋_GB2312" w:cs="仿宋_GB2312"/>
                <w:color w:val="000000" w:themeColor="text1"/>
                <w:kern w:val="0"/>
                <w:sz w:val="24"/>
                <w:szCs w:val="24"/>
                <w14:textFill>
                  <w14:solidFill>
                    <w14:schemeClr w14:val="tx1"/>
                  </w14:solidFill>
                </w14:textFill>
              </w:rPr>
              <w:t>2</w:t>
            </w:r>
            <w:r>
              <w:rPr>
                <w:rFonts w:hint="eastAsia" w:ascii="仿宋" w:hAnsi="仿宋" w:eastAsia="仿宋_GB2312" w:cs="仿宋_GB2312"/>
                <w:color w:val="000000" w:themeColor="text1"/>
                <w:kern w:val="0"/>
                <w:sz w:val="24"/>
                <w:szCs w:val="24"/>
                <w14:textFill>
                  <w14:solidFill>
                    <w14:schemeClr w14:val="tx1"/>
                  </w14:solidFill>
                </w14:textFill>
              </w:rPr>
              <w:t>.</w:t>
            </w:r>
            <w:r>
              <w:rPr>
                <w:rFonts w:ascii="仿宋" w:hAnsi="仿宋" w:eastAsia="仿宋_GB2312" w:cs="仿宋_GB2312"/>
                <w:color w:val="000000" w:themeColor="text1"/>
                <w:kern w:val="0"/>
                <w:sz w:val="24"/>
                <w:szCs w:val="24"/>
                <w14:textFill>
                  <w14:solidFill>
                    <w14:schemeClr w14:val="tx1"/>
                  </w14:solidFill>
                </w14:textFill>
              </w:rPr>
              <w:t>本报价单包含增值税普通发票，质保</w:t>
            </w:r>
            <w:r>
              <w:rPr>
                <w:rFonts w:hint="eastAsia" w:ascii="仿宋" w:hAnsi="仿宋" w:eastAsia="仿宋_GB2312" w:cs="仿宋_GB2312"/>
                <w:color w:val="000000" w:themeColor="text1"/>
                <w:kern w:val="0"/>
                <w:sz w:val="24"/>
                <w:szCs w:val="24"/>
                <w14:textFill>
                  <w14:solidFill>
                    <w14:schemeClr w14:val="tx1"/>
                  </w14:solidFill>
                </w14:textFill>
              </w:rPr>
              <w:t>36</w:t>
            </w:r>
            <w:r>
              <w:rPr>
                <w:rFonts w:ascii="仿宋" w:hAnsi="仿宋" w:eastAsia="仿宋_GB2312" w:cs="仿宋_GB2312"/>
                <w:color w:val="000000" w:themeColor="text1"/>
                <w:kern w:val="0"/>
                <w:sz w:val="24"/>
                <w:szCs w:val="24"/>
                <w14:textFill>
                  <w14:solidFill>
                    <w14:schemeClr w14:val="tx1"/>
                  </w14:solidFill>
                </w14:textFill>
              </w:rPr>
              <w:t>个月。</w:t>
            </w:r>
          </w:p>
          <w:p w14:paraId="1611E3FC">
            <w:pPr>
              <w:jc w:val="left"/>
              <w:rPr>
                <w:rFonts w:ascii="仿宋" w:hAnsi="仿宋" w:eastAsia="仿宋_GB2312" w:cs="仿宋_GB2312"/>
                <w:color w:val="000000" w:themeColor="text1"/>
                <w:kern w:val="0"/>
                <w:sz w:val="24"/>
                <w:szCs w:val="24"/>
                <w14:textFill>
                  <w14:solidFill>
                    <w14:schemeClr w14:val="tx1"/>
                  </w14:solidFill>
                </w14:textFill>
              </w:rPr>
            </w:pPr>
            <w:r>
              <w:rPr>
                <w:rFonts w:ascii="仿宋" w:hAnsi="仿宋" w:eastAsia="仿宋_GB2312" w:cs="仿宋_GB2312"/>
                <w:color w:val="000000" w:themeColor="text1"/>
                <w:kern w:val="0"/>
                <w:sz w:val="24"/>
                <w:szCs w:val="24"/>
                <w14:textFill>
                  <w14:solidFill>
                    <w14:schemeClr w14:val="tx1"/>
                  </w14:solidFill>
                </w14:textFill>
              </w:rPr>
              <w:t>3</w:t>
            </w:r>
            <w:r>
              <w:rPr>
                <w:rFonts w:hint="eastAsia" w:ascii="仿宋" w:hAnsi="仿宋" w:eastAsia="仿宋_GB2312" w:cs="仿宋_GB2312"/>
                <w:color w:val="000000" w:themeColor="text1"/>
                <w:kern w:val="0"/>
                <w:sz w:val="24"/>
                <w:szCs w:val="24"/>
                <w14:textFill>
                  <w14:solidFill>
                    <w14:schemeClr w14:val="tx1"/>
                  </w14:solidFill>
                </w14:textFill>
              </w:rPr>
              <w:t>.</w:t>
            </w:r>
            <w:r>
              <w:rPr>
                <w:rFonts w:ascii="仿宋" w:hAnsi="仿宋" w:eastAsia="仿宋_GB2312" w:cs="仿宋_GB2312"/>
                <w:color w:val="000000" w:themeColor="text1"/>
                <w:kern w:val="0"/>
                <w:sz w:val="24"/>
                <w:szCs w:val="24"/>
                <w14:textFill>
                  <w14:solidFill>
                    <w14:schemeClr w14:val="tx1"/>
                  </w14:solidFill>
                </w14:textFill>
              </w:rPr>
              <w:t>合同生效后20个工作日内交货并安装完成，如有变化，采购人提前一周书面告知交货时间。</w:t>
            </w:r>
          </w:p>
          <w:p w14:paraId="0D74A5FA">
            <w:pPr>
              <w:jc w:val="left"/>
              <w:rPr>
                <w:rFonts w:ascii="仿宋" w:hAnsi="仿宋" w:eastAsia="仿宋_GB2312" w:cs="仿宋_GB2312"/>
                <w:color w:val="000000" w:themeColor="text1"/>
                <w:kern w:val="0"/>
                <w:sz w:val="24"/>
                <w:szCs w:val="24"/>
                <w14:textFill>
                  <w14:solidFill>
                    <w14:schemeClr w14:val="tx1"/>
                  </w14:solidFill>
                </w14:textFill>
              </w:rPr>
            </w:pPr>
            <w:r>
              <w:rPr>
                <w:rFonts w:ascii="仿宋" w:hAnsi="仿宋" w:eastAsia="仿宋_GB2312" w:cs="仿宋_GB2312"/>
                <w:color w:val="000000" w:themeColor="text1"/>
                <w:kern w:val="0"/>
                <w:sz w:val="24"/>
                <w:szCs w:val="24"/>
                <w14:textFill>
                  <w14:solidFill>
                    <w14:schemeClr w14:val="tx1"/>
                  </w14:solidFill>
                </w14:textFill>
              </w:rPr>
              <w:t>4.</w:t>
            </w:r>
            <w:r>
              <w:rPr>
                <w:rFonts w:hint="eastAsia" w:ascii="仿宋" w:hAnsi="仿宋" w:eastAsia="仿宋_GB2312" w:cs="仿宋_GB2312"/>
                <w:color w:val="000000" w:themeColor="text1"/>
                <w:kern w:val="0"/>
                <w:sz w:val="24"/>
                <w:szCs w:val="24"/>
                <w14:textFill>
                  <w14:solidFill>
                    <w14:schemeClr w14:val="tx1"/>
                  </w14:solidFill>
                </w14:textFill>
              </w:rPr>
              <w:t>供货单位应在合同签订前支付合同价的</w:t>
            </w:r>
            <w:r>
              <w:rPr>
                <w:rFonts w:hint="eastAsia" w:ascii="仿宋" w:hAnsi="仿宋" w:eastAsia="仿宋_GB2312" w:cs="仿宋_GB2312"/>
                <w:color w:val="000000" w:themeColor="text1"/>
                <w:kern w:val="0"/>
                <w:sz w:val="24"/>
                <w:szCs w:val="24"/>
                <w:lang w:val="en-US" w:eastAsia="zh-CN"/>
                <w14:textFill>
                  <w14:solidFill>
                    <w14:schemeClr w14:val="tx1"/>
                  </w14:solidFill>
                </w14:textFill>
              </w:rPr>
              <w:t>2.5</w:t>
            </w:r>
            <w:r>
              <w:rPr>
                <w:rFonts w:hint="eastAsia" w:ascii="仿宋" w:hAnsi="仿宋" w:eastAsia="仿宋_GB2312" w:cs="仿宋_GB2312"/>
                <w:color w:val="000000" w:themeColor="text1"/>
                <w:kern w:val="0"/>
                <w:sz w:val="24"/>
                <w:szCs w:val="24"/>
                <w14:textFill>
                  <w14:solidFill>
                    <w14:schemeClr w14:val="tx1"/>
                  </w14:solidFill>
                </w14:textFill>
              </w:rPr>
              <w:t>%作为履约保证金。</w:t>
            </w:r>
          </w:p>
          <w:p w14:paraId="5A4398BE">
            <w:pPr>
              <w:jc w:val="left"/>
              <w:rPr>
                <w:rFonts w:ascii="仿宋" w:hAnsi="仿宋" w:eastAsia="仿宋_GB2312" w:cs="仿宋_GB2312"/>
                <w:color w:val="000000" w:themeColor="text1"/>
                <w:kern w:val="0"/>
                <w:sz w:val="24"/>
                <w:szCs w:val="24"/>
                <w14:textFill>
                  <w14:solidFill>
                    <w14:schemeClr w14:val="tx1"/>
                  </w14:solidFill>
                </w14:textFill>
              </w:rPr>
            </w:pPr>
            <w:r>
              <w:rPr>
                <w:rFonts w:ascii="仿宋" w:hAnsi="仿宋" w:eastAsia="仿宋_GB2312" w:cs="仿宋_GB2312"/>
                <w:color w:val="000000" w:themeColor="text1"/>
                <w:kern w:val="0"/>
                <w:sz w:val="24"/>
                <w:szCs w:val="24"/>
                <w14:textFill>
                  <w14:solidFill>
                    <w14:schemeClr w14:val="tx1"/>
                  </w14:solidFill>
                </w14:textFill>
              </w:rPr>
              <w:t>5</w:t>
            </w:r>
            <w:r>
              <w:rPr>
                <w:rFonts w:hint="eastAsia" w:ascii="仿宋" w:hAnsi="仿宋" w:eastAsia="仿宋_GB2312" w:cs="仿宋_GB2312"/>
                <w:color w:val="000000" w:themeColor="text1"/>
                <w:kern w:val="0"/>
                <w:sz w:val="24"/>
                <w:szCs w:val="24"/>
                <w14:textFill>
                  <w14:solidFill>
                    <w14:schemeClr w14:val="tx1"/>
                  </w14:solidFill>
                </w14:textFill>
              </w:rPr>
              <w:t>.</w:t>
            </w:r>
            <w:r>
              <w:rPr>
                <w:rFonts w:ascii="仿宋" w:hAnsi="仿宋" w:eastAsia="仿宋_GB2312" w:cs="仿宋_GB2312"/>
                <w:color w:val="000000" w:themeColor="text1"/>
                <w:kern w:val="0"/>
                <w:sz w:val="24"/>
                <w:szCs w:val="24"/>
                <w14:textFill>
                  <w14:solidFill>
                    <w14:schemeClr w14:val="tx1"/>
                  </w14:solidFill>
                </w14:textFill>
              </w:rPr>
              <w:t>结款方式</w:t>
            </w:r>
            <w:r>
              <w:rPr>
                <w:rFonts w:hint="eastAsia" w:ascii="仿宋" w:hAnsi="仿宋" w:eastAsia="仿宋_GB2312" w:cs="仿宋_GB2312"/>
                <w:color w:val="000000" w:themeColor="text1"/>
                <w:kern w:val="0"/>
                <w:sz w:val="24"/>
                <w:szCs w:val="24"/>
                <w14:textFill>
                  <w14:solidFill>
                    <w14:schemeClr w14:val="tx1"/>
                  </w14:solidFill>
                </w14:textFill>
              </w:rPr>
              <w:t>合同签订完成，支付40%预付款；供货安装并验收合格付至合同款100%</w:t>
            </w:r>
            <w:r>
              <w:rPr>
                <w:rFonts w:ascii="仿宋" w:hAnsi="仿宋" w:eastAsia="仿宋_GB2312" w:cs="仿宋_GB2312"/>
                <w:color w:val="000000" w:themeColor="text1"/>
                <w:kern w:val="0"/>
                <w:sz w:val="24"/>
                <w:szCs w:val="24"/>
                <w14:textFill>
                  <w14:solidFill>
                    <w14:schemeClr w14:val="tx1"/>
                  </w14:solidFill>
                </w14:textFill>
              </w:rPr>
              <w:t>。</w:t>
            </w:r>
          </w:p>
          <w:p w14:paraId="67401524">
            <w:pPr>
              <w:jc w:val="left"/>
              <w:rPr>
                <w:rFonts w:hint="eastAsia" w:ascii="仿宋" w:hAnsi="仿宋" w:eastAsia="仿宋_GB2312" w:cs="仿宋_GB2312"/>
                <w:color w:val="000000" w:themeColor="text1"/>
                <w:kern w:val="0"/>
                <w:sz w:val="24"/>
                <w:szCs w:val="24"/>
                <w14:textFill>
                  <w14:solidFill>
                    <w14:schemeClr w14:val="tx1"/>
                  </w14:solidFill>
                </w14:textFill>
              </w:rPr>
            </w:pPr>
            <w:r>
              <w:rPr>
                <w:rFonts w:ascii="仿宋" w:hAnsi="仿宋" w:eastAsia="仿宋_GB2312" w:cs="仿宋_GB2312"/>
                <w:color w:val="000000" w:themeColor="text1"/>
                <w:kern w:val="0"/>
                <w:sz w:val="24"/>
                <w:szCs w:val="24"/>
                <w14:textFill>
                  <w14:solidFill>
                    <w14:schemeClr w14:val="tx1"/>
                  </w14:solidFill>
                </w14:textFill>
              </w:rPr>
              <w:t>6</w:t>
            </w:r>
            <w:r>
              <w:rPr>
                <w:rFonts w:hint="eastAsia" w:ascii="仿宋" w:hAnsi="仿宋" w:eastAsia="仿宋_GB2312" w:cs="仿宋_GB2312"/>
                <w:color w:val="000000" w:themeColor="text1"/>
                <w:kern w:val="0"/>
                <w:sz w:val="24"/>
                <w:szCs w:val="24"/>
                <w14:textFill>
                  <w14:solidFill>
                    <w14:schemeClr w14:val="tx1"/>
                  </w14:solidFill>
                </w14:textFill>
              </w:rPr>
              <w:t>.异常低价为无效报价。</w:t>
            </w:r>
          </w:p>
        </w:tc>
      </w:tr>
      <w:tr w14:paraId="1DFD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3128DAFE">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总报价</w:t>
            </w:r>
          </w:p>
        </w:tc>
        <w:tc>
          <w:tcPr>
            <w:tcW w:w="8833" w:type="dxa"/>
            <w:gridSpan w:val="4"/>
            <w:tcBorders>
              <w:top w:val="single" w:color="auto" w:sz="4" w:space="0"/>
              <w:left w:val="single" w:color="auto" w:sz="4" w:space="0"/>
              <w:bottom w:val="single" w:color="auto" w:sz="4" w:space="0"/>
              <w:right w:val="single" w:color="auto" w:sz="4" w:space="0"/>
            </w:tcBorders>
            <w:vAlign w:val="center"/>
          </w:tcPr>
          <w:p w14:paraId="032CE57D">
            <w:pP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 xml:space="preserve">大写： </w:t>
            </w:r>
            <w:r>
              <w:rPr>
                <w:rFonts w:ascii="仿宋" w:hAnsi="仿宋" w:eastAsia="仿宋" w:cs="仿宋_GB2312"/>
                <w:color w:val="000000" w:themeColor="text1"/>
                <w:kern w:val="0"/>
                <w:sz w:val="24"/>
                <w:szCs w:val="24"/>
                <w14:textFill>
                  <w14:solidFill>
                    <w14:schemeClr w14:val="tx1"/>
                  </w14:solidFill>
                </w14:textFill>
              </w:rPr>
              <w:t xml:space="preserve">                     </w:t>
            </w:r>
            <w:r>
              <w:rPr>
                <w:rFonts w:hint="eastAsia" w:ascii="仿宋" w:hAnsi="仿宋" w:eastAsia="仿宋" w:cs="仿宋_GB2312"/>
                <w:color w:val="000000" w:themeColor="text1"/>
                <w:kern w:val="0"/>
                <w:sz w:val="24"/>
                <w:szCs w:val="24"/>
                <w14:textFill>
                  <w14:solidFill>
                    <w14:schemeClr w14:val="tx1"/>
                  </w14:solidFill>
                </w14:textFill>
              </w:rPr>
              <w:t>小写：</w:t>
            </w:r>
            <w:r>
              <w:rPr>
                <w:rFonts w:hint="eastAsia" w:ascii="宋体" w:hAnsi="宋体" w:cs="宋体"/>
                <w:b/>
                <w:color w:val="000000" w:themeColor="text1"/>
                <w:sz w:val="18"/>
                <w:szCs w:val="21"/>
                <w14:textFill>
                  <w14:solidFill>
                    <w14:schemeClr w14:val="tx1"/>
                  </w14:solidFill>
                </w14:textFill>
              </w:rPr>
              <w:t>¥</w:t>
            </w:r>
            <w:r>
              <w:rPr>
                <w:rFonts w:hint="eastAsia" w:ascii="仿宋" w:hAnsi="仿宋" w:eastAsia="仿宋" w:cs="仿宋_GB2312"/>
                <w:color w:val="000000" w:themeColor="text1"/>
                <w:kern w:val="0"/>
                <w:sz w:val="24"/>
                <w:szCs w:val="24"/>
                <w14:textFill>
                  <w14:solidFill>
                    <w14:schemeClr w14:val="tx1"/>
                  </w14:solidFill>
                </w14:textFill>
              </w:rPr>
              <w:t xml:space="preserve"> </w:t>
            </w:r>
            <w:r>
              <w:rPr>
                <w:rFonts w:ascii="仿宋" w:hAnsi="仿宋" w:eastAsia="仿宋" w:cs="仿宋_GB2312"/>
                <w:color w:val="000000" w:themeColor="text1"/>
                <w:kern w:val="0"/>
                <w:sz w:val="24"/>
                <w:szCs w:val="24"/>
                <w14:textFill>
                  <w14:solidFill>
                    <w14:schemeClr w14:val="tx1"/>
                  </w14:solidFill>
                </w14:textFill>
              </w:rPr>
              <w:t xml:space="preserve">          </w:t>
            </w:r>
          </w:p>
        </w:tc>
      </w:tr>
    </w:tbl>
    <w:p w14:paraId="15BB705A"/>
    <w:p w14:paraId="73C18364"/>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38AC7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21914C42">
            <w:pPr>
              <w:jc w:val="left"/>
              <w:rPr>
                <w:rFonts w:hint="default" w:ascii="仿宋" w:hAnsi="仿宋" w:eastAsia="仿宋_GB2312" w:cs="仿宋_GB2312"/>
                <w:color w:val="000000" w:themeColor="text1"/>
                <w:kern w:val="0"/>
                <w:sz w:val="24"/>
                <w:szCs w:val="24"/>
                <w:lang w:val="en-US" w:eastAsia="zh-CN"/>
                <w14:textFill>
                  <w14:solidFill>
                    <w14:schemeClr w14:val="tx1"/>
                  </w14:solidFill>
                </w14:textFill>
              </w:rPr>
            </w:pPr>
            <w:r>
              <w:rPr>
                <w:rFonts w:hint="eastAsia" w:ascii="仿宋" w:hAnsi="仿宋" w:eastAsia="仿宋_GB2312" w:cs="仿宋_GB2312"/>
                <w:color w:val="000000" w:themeColor="text1"/>
                <w:kern w:val="0"/>
                <w:sz w:val="24"/>
                <w:szCs w:val="24"/>
                <w:lang w:val="en-US" w:eastAsia="zh-CN"/>
                <w14:textFill>
                  <w14:solidFill>
                    <w14:schemeClr w14:val="tx1"/>
                  </w14:solidFill>
                </w14:textFill>
              </w:rPr>
              <w:t>报价人：</w:t>
            </w:r>
            <w:r>
              <w:rPr>
                <w:rFonts w:hint="eastAsia" w:ascii="仿宋" w:hAnsi="仿宋" w:eastAsia="仿宋_GB2312" w:cs="仿宋_GB2312"/>
                <w:color w:val="000000" w:themeColor="text1"/>
                <w:kern w:val="0"/>
                <w:sz w:val="24"/>
                <w:szCs w:val="24"/>
                <w:lang w:val="en-US" w:eastAsia="zh-CN"/>
                <w14:textFill>
                  <w14:solidFill>
                    <w14:schemeClr w14:val="tx1"/>
                  </w14:solidFill>
                </w14:textFill>
              </w:rPr>
              <w:br w:type="textWrapping"/>
            </w:r>
          </w:p>
        </w:tc>
        <w:tc>
          <w:tcPr>
            <w:tcW w:w="4261" w:type="dxa"/>
          </w:tcPr>
          <w:p w14:paraId="6F25698C">
            <w:pPr>
              <w:jc w:val="left"/>
              <w:rPr>
                <w:rFonts w:hint="default" w:ascii="仿宋" w:hAnsi="仿宋" w:eastAsia="仿宋_GB2312" w:cs="仿宋_GB2312"/>
                <w:color w:val="000000" w:themeColor="text1"/>
                <w:kern w:val="0"/>
                <w:sz w:val="24"/>
                <w:szCs w:val="24"/>
                <w:lang w:val="en-US" w:eastAsia="zh-CN"/>
                <w14:textFill>
                  <w14:solidFill>
                    <w14:schemeClr w14:val="tx1"/>
                  </w14:solidFill>
                </w14:textFill>
              </w:rPr>
            </w:pPr>
            <w:r>
              <w:rPr>
                <w:rFonts w:hint="eastAsia" w:ascii="仿宋" w:hAnsi="仿宋" w:eastAsia="仿宋_GB2312" w:cs="仿宋_GB2312"/>
                <w:color w:val="000000" w:themeColor="text1"/>
                <w:kern w:val="0"/>
                <w:sz w:val="24"/>
                <w:szCs w:val="24"/>
                <w:lang w:val="en-US" w:eastAsia="zh-CN"/>
                <w14:textFill>
                  <w14:solidFill>
                    <w14:schemeClr w14:val="tx1"/>
                  </w14:solidFill>
                </w14:textFill>
              </w:rPr>
              <w:t>公司名称（盖章）：</w:t>
            </w:r>
            <w:r>
              <w:rPr>
                <w:rFonts w:hint="eastAsia" w:ascii="仿宋" w:hAnsi="仿宋" w:eastAsia="仿宋_GB2312" w:cs="仿宋_GB2312"/>
                <w:color w:val="000000" w:themeColor="text1"/>
                <w:kern w:val="0"/>
                <w:sz w:val="24"/>
                <w:szCs w:val="24"/>
                <w:lang w:val="en-US" w:eastAsia="zh-CN"/>
                <w14:textFill>
                  <w14:solidFill>
                    <w14:schemeClr w14:val="tx1"/>
                  </w14:solidFill>
                </w14:textFill>
              </w:rPr>
              <w:br w:type="textWrapping"/>
            </w:r>
          </w:p>
        </w:tc>
      </w:tr>
      <w:tr w14:paraId="2A34F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AFE49FE">
            <w:pPr>
              <w:jc w:val="left"/>
              <w:rPr>
                <w:rFonts w:hint="default" w:ascii="仿宋" w:hAnsi="仿宋" w:eastAsia="仿宋_GB2312" w:cs="仿宋_GB2312"/>
                <w:color w:val="000000" w:themeColor="text1"/>
                <w:kern w:val="0"/>
                <w:sz w:val="24"/>
                <w:szCs w:val="24"/>
                <w:lang w:val="en-US" w:eastAsia="zh-CN"/>
                <w14:textFill>
                  <w14:solidFill>
                    <w14:schemeClr w14:val="tx1"/>
                  </w14:solidFill>
                </w14:textFill>
              </w:rPr>
            </w:pPr>
            <w:r>
              <w:rPr>
                <w:rFonts w:hint="eastAsia" w:ascii="仿宋" w:hAnsi="仿宋" w:eastAsia="仿宋_GB2312" w:cs="仿宋_GB2312"/>
                <w:color w:val="000000" w:themeColor="text1"/>
                <w:kern w:val="0"/>
                <w:sz w:val="24"/>
                <w:szCs w:val="24"/>
                <w:lang w:val="en-US" w:eastAsia="zh-CN"/>
                <w14:textFill>
                  <w14:solidFill>
                    <w14:schemeClr w14:val="tx1"/>
                  </w14:solidFill>
                </w14:textFill>
              </w:rPr>
              <w:t>联系方式：</w:t>
            </w:r>
            <w:r>
              <w:rPr>
                <w:rFonts w:hint="eastAsia" w:ascii="仿宋" w:hAnsi="仿宋" w:eastAsia="仿宋_GB2312" w:cs="仿宋_GB2312"/>
                <w:color w:val="000000" w:themeColor="text1"/>
                <w:kern w:val="0"/>
                <w:sz w:val="24"/>
                <w:szCs w:val="24"/>
                <w:lang w:val="en-US" w:eastAsia="zh-CN"/>
                <w14:textFill>
                  <w14:solidFill>
                    <w14:schemeClr w14:val="tx1"/>
                  </w14:solidFill>
                </w14:textFill>
              </w:rPr>
              <w:br w:type="textWrapping"/>
            </w:r>
          </w:p>
        </w:tc>
        <w:tc>
          <w:tcPr>
            <w:tcW w:w="4261" w:type="dxa"/>
          </w:tcPr>
          <w:p w14:paraId="0043F5A1">
            <w:pPr>
              <w:jc w:val="left"/>
              <w:rPr>
                <w:rFonts w:hint="eastAsia" w:ascii="仿宋" w:hAnsi="仿宋" w:eastAsia="仿宋_GB2312" w:cs="仿宋_GB2312"/>
                <w:color w:val="000000" w:themeColor="text1"/>
                <w:kern w:val="0"/>
                <w:sz w:val="24"/>
                <w:szCs w:val="24"/>
                <w:lang w:val="en-US" w:eastAsia="zh-CN"/>
                <w14:textFill>
                  <w14:solidFill>
                    <w14:schemeClr w14:val="tx1"/>
                  </w14:solidFill>
                </w14:textFill>
              </w:rPr>
            </w:pPr>
            <w:r>
              <w:rPr>
                <w:rFonts w:hint="eastAsia" w:ascii="仿宋" w:hAnsi="仿宋" w:eastAsia="仿宋_GB2312" w:cs="仿宋_GB2312"/>
                <w:color w:val="000000" w:themeColor="text1"/>
                <w:kern w:val="0"/>
                <w:sz w:val="24"/>
                <w:szCs w:val="24"/>
                <w:lang w:val="en-US" w:eastAsia="zh-CN"/>
                <w14:textFill>
                  <w14:solidFill>
                    <w14:schemeClr w14:val="tx1"/>
                  </w14:solidFill>
                </w14:textFill>
              </w:rPr>
              <w:t>日期：</w:t>
            </w:r>
            <w:r>
              <w:rPr>
                <w:rFonts w:hint="eastAsia" w:ascii="仿宋" w:hAnsi="仿宋" w:eastAsia="仿宋_GB2312" w:cs="仿宋_GB2312"/>
                <w:color w:val="000000" w:themeColor="text1"/>
                <w:kern w:val="0"/>
                <w:sz w:val="24"/>
                <w:szCs w:val="24"/>
                <w:lang w:val="en-US" w:eastAsia="zh-CN"/>
                <w14:textFill>
                  <w14:solidFill>
                    <w14:schemeClr w14:val="tx1"/>
                  </w14:solidFill>
                </w14:textFill>
              </w:rPr>
              <w:br w:type="textWrapping"/>
            </w:r>
          </w:p>
        </w:tc>
      </w:tr>
    </w:tbl>
    <w:p w14:paraId="031587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NTk5MzUxZjI1NDBmMDc3N2YzMWIyOTdkM2Y0YmYifQ=="/>
  </w:docVars>
  <w:rsids>
    <w:rsidRoot w:val="14B56CF0"/>
    <w:rsid w:val="000F33DC"/>
    <w:rsid w:val="003D49E0"/>
    <w:rsid w:val="00506433"/>
    <w:rsid w:val="005466BA"/>
    <w:rsid w:val="009058B2"/>
    <w:rsid w:val="009706EF"/>
    <w:rsid w:val="00AC2024"/>
    <w:rsid w:val="00CA1EF7"/>
    <w:rsid w:val="00F7768C"/>
    <w:rsid w:val="14B56CF0"/>
    <w:rsid w:val="27CB45A8"/>
    <w:rsid w:val="410A4020"/>
    <w:rsid w:val="606C77EB"/>
    <w:rsid w:val="7FC36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01"/>
    <w:basedOn w:val="6"/>
    <w:qFormat/>
    <w:uiPriority w:val="0"/>
    <w:rPr>
      <w:rFonts w:hint="eastAsia" w:ascii="宋体" w:hAnsi="宋体" w:eastAsia="宋体" w:cs="宋体"/>
      <w:color w:val="000000"/>
      <w:sz w:val="22"/>
      <w:szCs w:val="22"/>
      <w:u w:val="none"/>
    </w:rPr>
  </w:style>
  <w:style w:type="paragraph" w:customStyle="1" w:styleId="8">
    <w:name w:val="Char Char Char Char Char Char Char Char Char Char"/>
    <w:basedOn w:val="1"/>
    <w:uiPriority w:val="0"/>
    <w:rPr>
      <w:rFonts w:ascii="Tahoma" w:hAnsi="Tahoma" w:cs="仿宋_GB2312"/>
      <w:sz w:val="24"/>
    </w:rPr>
  </w:style>
  <w:style w:type="character" w:customStyle="1" w:styleId="9">
    <w:name w:val="页眉 字符"/>
    <w:basedOn w:val="6"/>
    <w:link w:val="3"/>
    <w:qFormat/>
    <w:uiPriority w:val="0"/>
    <w:rPr>
      <w:kern w:val="2"/>
      <w:sz w:val="18"/>
      <w:szCs w:val="18"/>
    </w:rPr>
  </w:style>
  <w:style w:type="character" w:customStyle="1" w:styleId="10">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1534</Words>
  <Characters>1681</Characters>
  <Lines>12</Lines>
  <Paragraphs>3</Paragraphs>
  <TotalTime>31</TotalTime>
  <ScaleCrop>false</ScaleCrop>
  <LinksUpToDate>false</LinksUpToDate>
  <CharactersWithSpaces>1736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2024-07-21T03:53:00Z</dcterms:created>
  <dc:creator>陶政辉</dc:creator>
  <cp:lastModifiedBy>陶政辉</cp:lastModifiedBy>
  <cp:lastPrinted>2024-08-09T08:45:36Z</cp:lastPrinted>
  <dcterms:modified xsi:type="dcterms:W3CDTF">2024-08-09T09:10:53Z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F2C2232C72FB40B08CA8A8E335201913_13</vt:lpwstr>
  </property>
</Properties>
</file>