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/>
          <w:lang w:val="en-US" w:eastAsia="zh-CN"/>
        </w:rPr>
      </w:pPr>
      <w:r>
        <w:rPr>
          <w:rFonts w:hint="eastAsia"/>
        </w:rPr>
        <w:t>安徽城市管理职业学院</w:t>
      </w:r>
      <w:r>
        <w:rPr>
          <w:rFonts w:hint="eastAsia"/>
          <w:lang w:val="en-US" w:eastAsia="zh-CN"/>
        </w:rPr>
        <w:t>对外交流中心临时过渡用房改造配套设备采购（空调）</w:t>
      </w:r>
    </w:p>
    <w:p>
      <w:pPr>
        <w:pStyle w:val="4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/>
        </w:rPr>
        <w:t>采购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报价表</w:t>
      </w:r>
    </w:p>
    <w:p>
      <w:pPr>
        <w:rPr>
          <w:rFonts w:hint="eastAsia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报价单位</w:t>
      </w:r>
      <w:r>
        <w:rPr>
          <w:rFonts w:hint="eastAsia"/>
          <w:sz w:val="32"/>
          <w:szCs w:val="32"/>
          <w:lang w:val="en-US" w:eastAsia="zh-CN"/>
        </w:rPr>
        <w:t>（盖章）：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                    联系电话：</w:t>
      </w:r>
    </w:p>
    <w:tbl>
      <w:tblPr>
        <w:tblStyle w:val="6"/>
        <w:tblW w:w="152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5234"/>
        <w:gridCol w:w="2893"/>
        <w:gridCol w:w="1028"/>
        <w:gridCol w:w="2036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97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  <w:t>商品型号</w:t>
            </w:r>
          </w:p>
        </w:tc>
        <w:tc>
          <w:tcPr>
            <w:tcW w:w="523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  <w:t>商</w:t>
            </w: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  <w:t>品</w:t>
            </w: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  <w:t>链</w:t>
            </w: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  <w:t>接</w:t>
            </w:r>
          </w:p>
        </w:tc>
        <w:tc>
          <w:tcPr>
            <w:tcW w:w="289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  <w:t>主</w:t>
            </w: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  <w:t>要</w:t>
            </w: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  <w:t>配</w:t>
            </w: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  <w:t>置</w:t>
            </w:r>
          </w:p>
        </w:tc>
        <w:tc>
          <w:tcPr>
            <w:tcW w:w="102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  <w:t>数量</w:t>
            </w:r>
          </w:p>
        </w:tc>
        <w:tc>
          <w:tcPr>
            <w:tcW w:w="203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  <w:t>单</w:t>
            </w: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  <w:t>价（元）</w:t>
            </w:r>
          </w:p>
        </w:tc>
        <w:tc>
          <w:tcPr>
            <w:tcW w:w="203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  <w:t>总报价（元）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海尔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KFR-35GW/B0MCA81</w:t>
            </w:r>
          </w:p>
        </w:tc>
        <w:tc>
          <w:tcPr>
            <w:tcW w:w="52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79" w:leftChars="133" w:firstLine="280" w:firstLineChars="1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79" w:leftChars="133" w:firstLine="280" w:firstLineChars="1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https://kjxy.anhui.zcygov.cn/items/1950501706593121?searchType=1&amp;searchTraceId=f7eea778-a216-49e7-991d-86885689d82e&amp;utm=a0004.eevees-search.goods_card.goods_detail.698baae053bd11ef9db7b5b7bc3db5c9&amp;skuId=1950501706592350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893" w:type="dxa"/>
            <w:vAlign w:val="center"/>
          </w:tcPr>
          <w:p>
            <w:pPr>
              <w:widowControl/>
              <w:spacing w:line="360" w:lineRule="auto"/>
              <w:contextualSpacing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1、变频分体壁挂机,带电辅助加热；</w:t>
            </w:r>
          </w:p>
          <w:p>
            <w:pPr>
              <w:widowControl/>
              <w:spacing w:line="360" w:lineRule="auto"/>
              <w:contextualSpacing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2、一级能效；</w:t>
            </w:r>
          </w:p>
          <w:p>
            <w:pPr>
              <w:widowControl/>
              <w:spacing w:line="360" w:lineRule="auto"/>
              <w:contextualSpacing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3、制冷量≥3500W,制热量≥5000W（不含电辅热）；</w:t>
            </w:r>
          </w:p>
          <w:p>
            <w:pPr>
              <w:widowControl/>
              <w:spacing w:line="360" w:lineRule="auto"/>
              <w:contextualSpacing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4、电辅助加热功率≥1000 W；</w:t>
            </w:r>
          </w:p>
          <w:p>
            <w:pPr>
              <w:widowControl/>
              <w:spacing w:line="360" w:lineRule="auto"/>
              <w:contextualSpacing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5、制冷功率≤860W,制热功率≤1250W；</w:t>
            </w:r>
          </w:p>
          <w:p>
            <w:pPr>
              <w:widowControl/>
              <w:spacing w:line="360" w:lineRule="auto"/>
              <w:contextualSpacing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6、循环风量≥640 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/h；</w:t>
            </w:r>
          </w:p>
          <w:p>
            <w:pPr>
              <w:widowControl/>
              <w:spacing w:line="360" w:lineRule="auto"/>
              <w:contextualSpacing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7、内机噪音≤41dB(A)；</w:t>
            </w:r>
          </w:p>
          <w:p>
            <w:pPr>
              <w:widowControl/>
              <w:spacing w:line="360" w:lineRule="auto"/>
              <w:contextualSpacing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8、外机噪音≤51dB(A)；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9、电源规格(PH-V-Hz):1-220-50。</w:t>
            </w:r>
          </w:p>
        </w:tc>
        <w:tc>
          <w:tcPr>
            <w:tcW w:w="102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187台</w:t>
            </w:r>
          </w:p>
        </w:tc>
        <w:tc>
          <w:tcPr>
            <w:tcW w:w="203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3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131" w:type="dxa"/>
            <w:gridSpan w:val="4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/>
                <w:bCs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36"/>
                <w:szCs w:val="36"/>
                <w:lang w:val="en-US" w:eastAsia="zh-CN"/>
              </w:rPr>
              <w:t>其他需求响应情况：</w:t>
            </w:r>
          </w:p>
        </w:tc>
        <w:tc>
          <w:tcPr>
            <w:tcW w:w="4072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36"/>
                <w:szCs w:val="36"/>
                <w:lang w:val="en-US" w:eastAsia="zh-CN"/>
              </w:rPr>
              <w:t>是 否 响 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1131" w:type="dxa"/>
            <w:gridSpan w:val="4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中标后提供生产厂商针对本项目的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年售后服务承诺函（纸质原件）</w:t>
            </w:r>
          </w:p>
        </w:tc>
        <w:tc>
          <w:tcPr>
            <w:tcW w:w="203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□响应</w:t>
            </w:r>
          </w:p>
        </w:tc>
        <w:tc>
          <w:tcPr>
            <w:tcW w:w="203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□不响应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131" w:type="dxa"/>
            <w:gridSpan w:val="4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2、本项目报总价，报价需充分考虑所供设备、运输、搬运、安装、加管、加电缆线，开孔、登高机械、支架，拆除以及质保期所需费用等所有费用，本项目不再追加任何费用。</w:t>
            </w:r>
          </w:p>
        </w:tc>
        <w:tc>
          <w:tcPr>
            <w:tcW w:w="203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□响应</w:t>
            </w:r>
          </w:p>
        </w:tc>
        <w:tc>
          <w:tcPr>
            <w:tcW w:w="203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□不响应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5203" w:type="dxa"/>
            <w:gridSpan w:val="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其他说明：</w:t>
            </w: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179" w:right="816" w:bottom="839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微软简标宋">
    <w:altName w:val="@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jYWI4ZmYzODdhMzJhOTU0ZTczMzVlNWY4N2IwNzYifQ=="/>
  </w:docVars>
  <w:rsids>
    <w:rsidRoot w:val="556A39F8"/>
    <w:rsid w:val="03354D2B"/>
    <w:rsid w:val="09AF5357"/>
    <w:rsid w:val="1B7202F6"/>
    <w:rsid w:val="54F9715A"/>
    <w:rsid w:val="556A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@微软简标宋" w:hAnsi="@微软简标宋" w:eastAsia="@微软简标宋" w:cs="@微软简标宋"/>
      <w:szCs w:val="24"/>
      <w:lang w:val="zh-CN"/>
    </w:r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</w:style>
  <w:style w:type="paragraph" w:styleId="4">
    <w:name w:val="Title"/>
    <w:basedOn w:val="1"/>
    <w:next w:val="1"/>
    <w:qFormat/>
    <w:uiPriority w:val="0"/>
    <w:pPr>
      <w:spacing w:line="579" w:lineRule="exact"/>
      <w:jc w:val="center"/>
      <w:outlineLvl w:val="0"/>
    </w:pPr>
    <w:rPr>
      <w:rFonts w:eastAsia="方正小标宋简体" w:cstheme="majorBidi"/>
      <w:bCs/>
      <w:sz w:val="44"/>
      <w:szCs w:val="32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404</Characters>
  <Lines>0</Lines>
  <Paragraphs>0</Paragraphs>
  <TotalTime>0</TotalTime>
  <ScaleCrop>false</ScaleCrop>
  <LinksUpToDate>false</LinksUpToDate>
  <CharactersWithSpaces>464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2024-06-27T05:26:00Z</dcterms:created>
  <dc:creator>sl</dc:creator>
  <cp:lastModifiedBy>秋叶梧桐莫张狂</cp:lastModifiedBy>
  <dcterms:modified xsi:type="dcterms:W3CDTF">2024-08-06T07:31:31Z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6ED28B9ACFE343A389D2F168F1BBEE58_11</vt:lpwstr>
  </property>
</Properties>
</file>