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3780"/>
        </w:tabs>
        <w:spacing w:before="120" w:beforeLines="50"/>
        <w:jc w:val="center"/>
        <w:rPr>
          <w:rFonts w:ascii="方正小标宋简体" w:eastAsia="方正小标宋简体"/>
          <w:b/>
          <w:sz w:val="44"/>
          <w:szCs w:val="44"/>
        </w:rPr>
      </w:pPr>
      <w:r>
        <w:rPr>
          <w:rFonts w:hint="eastAsia" w:ascii="方正小标宋简体" w:eastAsia="方正小标宋简体"/>
          <w:b/>
          <w:sz w:val="44"/>
          <w:szCs w:val="44"/>
        </w:rPr>
        <w:t>安徽城市管理职业学院新桥校区方案设计及初步设计采购需求标前公示</w:t>
      </w:r>
    </w:p>
    <w:tbl>
      <w:tblPr>
        <w:tblStyle w:val="5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6" w:hRule="atLeast"/>
        </w:trPr>
        <w:tc>
          <w:tcPr>
            <w:tcW w:w="2268" w:type="dxa"/>
            <w:vAlign w:val="center"/>
          </w:tcPr>
          <w:p>
            <w:pPr>
              <w:jc w:val="center"/>
              <w:rPr>
                <w:rFonts w:ascii="宋体" w:hAnsi="宋体" w:cs="仿宋"/>
                <w:b/>
                <w:sz w:val="24"/>
              </w:rPr>
            </w:pPr>
            <w:r>
              <w:rPr>
                <w:rFonts w:hint="eastAsia" w:ascii="宋体" w:hAnsi="宋体" w:cs="仿宋"/>
                <w:b/>
                <w:sz w:val="24"/>
              </w:rPr>
              <w:t>项目名称</w:t>
            </w:r>
          </w:p>
        </w:tc>
        <w:tc>
          <w:tcPr>
            <w:tcW w:w="6663" w:type="dxa"/>
            <w:vAlign w:val="center"/>
          </w:tcPr>
          <w:p>
            <w:pPr>
              <w:rPr>
                <w:rFonts w:ascii="宋体" w:hAnsi="宋体" w:cs="仿宋"/>
                <w:sz w:val="24"/>
              </w:rPr>
            </w:pPr>
            <w:r>
              <w:rPr>
                <w:rFonts w:hint="eastAsia" w:ascii="宋体" w:hAnsi="宋体" w:cs="仿宋"/>
                <w:sz w:val="24"/>
              </w:rPr>
              <w:t>安徽城市管理职业学院新桥校区方案设计及初步设计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68" w:type="dxa"/>
            <w:vAlign w:val="center"/>
          </w:tcPr>
          <w:p>
            <w:pPr>
              <w:jc w:val="center"/>
              <w:rPr>
                <w:rFonts w:ascii="宋体" w:hAnsi="宋体" w:cs="仿宋"/>
                <w:b/>
                <w:sz w:val="24"/>
              </w:rPr>
            </w:pPr>
            <w:r>
              <w:rPr>
                <w:rFonts w:hint="eastAsia" w:ascii="宋体" w:hAnsi="宋体" w:cs="仿宋"/>
                <w:b/>
                <w:sz w:val="24"/>
              </w:rPr>
              <w:t>项目预算</w:t>
            </w:r>
          </w:p>
        </w:tc>
        <w:tc>
          <w:tcPr>
            <w:tcW w:w="6663" w:type="dxa"/>
            <w:vAlign w:val="center"/>
          </w:tcPr>
          <w:p>
            <w:pPr>
              <w:ind w:left="67" w:leftChars="32"/>
              <w:rPr>
                <w:rFonts w:ascii="宋体" w:hAnsi="宋体" w:cs="仿宋"/>
                <w:sz w:val="24"/>
              </w:rPr>
            </w:pPr>
            <w:r>
              <w:rPr>
                <w:rFonts w:ascii="宋体" w:hAnsi="宋体" w:cs="仿宋"/>
                <w:sz w:val="24"/>
              </w:rPr>
              <w:t>1570</w:t>
            </w:r>
            <w:r>
              <w:rPr>
                <w:rFonts w:hint="eastAsia" w:ascii="宋体" w:hAnsi="宋体" w:cs="仿宋"/>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2268" w:type="dxa"/>
            <w:vAlign w:val="center"/>
          </w:tcPr>
          <w:p>
            <w:pPr>
              <w:jc w:val="center"/>
              <w:rPr>
                <w:rFonts w:ascii="宋体" w:hAnsi="宋体" w:cs="仿宋"/>
                <w:sz w:val="24"/>
              </w:rPr>
            </w:pPr>
            <w:r>
              <w:rPr>
                <w:rFonts w:hint="eastAsia" w:ascii="宋体" w:hAnsi="宋体" w:cs="仿宋"/>
                <w:b/>
                <w:sz w:val="24"/>
              </w:rPr>
              <w:t>招标范围</w:t>
            </w:r>
          </w:p>
        </w:tc>
        <w:tc>
          <w:tcPr>
            <w:tcW w:w="6663" w:type="dxa"/>
            <w:vAlign w:val="center"/>
          </w:tcPr>
          <w:p>
            <w:pPr>
              <w:spacing w:line="360" w:lineRule="auto"/>
              <w:rPr>
                <w:rFonts w:ascii="宋体" w:hAnsi="宋体" w:cs="仿宋"/>
                <w:sz w:val="24"/>
              </w:rPr>
            </w:pPr>
            <w:r>
              <w:rPr>
                <w:rFonts w:hint="eastAsia" w:ascii="宋体" w:hAnsi="宋体" w:cs="仿宋"/>
                <w:sz w:val="24"/>
              </w:rPr>
              <w:t>项目主要包括但不限于：</w:t>
            </w:r>
            <w:bookmarkStart w:id="0" w:name="_Hlk150588857"/>
            <w:r>
              <w:rPr>
                <w:rFonts w:hint="eastAsia" w:ascii="宋体" w:hAnsi="宋体" w:cs="仿宋"/>
                <w:sz w:val="24"/>
              </w:rPr>
              <w:t>在安徽城市管理职业学院新桥校区项目概念性规划基础上，本着一次总体规划方案设计，根据用地方案出修建性详细规划成果、初步设计。包括但不限于本项目的修建性详细规划、建筑方案设计及投资估算编制、工程初步勘察、工程详细勘察、土方平衡设计、初步设计及设计概算编制、后续的配合服务（负责工程设计概算的变更、协助造价咨询单位编制造价成果、技术指导等协助完成其他与工程前期设计相关的工作任务）、负责专项评估报告编制（包括但不限于交通影响评价报告、水土保持方案、环境影响评价报告、建筑节能评估报告、绿色建筑设计方案等）及评审工作等</w:t>
            </w:r>
            <w:bookmarkEnd w:id="0"/>
            <w:r>
              <w:rPr>
                <w:rFonts w:hint="eastAsia" w:ascii="宋体" w:hAnsi="宋体" w:cs="仿宋"/>
                <w:sz w:val="24"/>
              </w:rPr>
              <w:t>。方案设计及方案设计服务项目数量以实际开展业务为准，设计费用根据初步设计批复的建筑面积乘以中标单价结算。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2268" w:type="dxa"/>
            <w:vAlign w:val="center"/>
          </w:tcPr>
          <w:p>
            <w:pPr>
              <w:jc w:val="center"/>
              <w:rPr>
                <w:rFonts w:ascii="宋体" w:hAnsi="宋体" w:cs="仿宋"/>
                <w:b/>
                <w:sz w:val="24"/>
              </w:rPr>
            </w:pPr>
            <w:r>
              <w:rPr>
                <w:rFonts w:hint="eastAsia" w:ascii="宋体" w:hAnsi="宋体" w:cs="仿宋"/>
                <w:b/>
                <w:sz w:val="24"/>
              </w:rPr>
              <w:t>评标办法及评分标准</w:t>
            </w:r>
          </w:p>
        </w:tc>
        <w:tc>
          <w:tcPr>
            <w:tcW w:w="6663" w:type="dxa"/>
            <w:vAlign w:val="center"/>
          </w:tcPr>
          <w:p>
            <w:pPr>
              <w:autoSpaceDE w:val="0"/>
              <w:autoSpaceDN w:val="0"/>
              <w:adjustRightInd w:val="0"/>
              <w:spacing w:line="360" w:lineRule="auto"/>
              <w:jc w:val="left"/>
              <w:rPr>
                <w:rFonts w:ascii="宋体" w:hAnsi="宋体" w:cs="仿宋"/>
                <w:sz w:val="24"/>
              </w:rPr>
            </w:pPr>
            <w:r>
              <w:rPr>
                <w:rFonts w:hint="eastAsia" w:ascii="宋体" w:hAnsi="宋体" w:cs="仿宋"/>
                <w:sz w:val="24"/>
              </w:rPr>
              <w:t>综合评估法（一次平均），具体见附件2。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2268" w:type="dxa"/>
            <w:vAlign w:val="center"/>
          </w:tcPr>
          <w:p>
            <w:pPr>
              <w:jc w:val="center"/>
              <w:rPr>
                <w:rFonts w:ascii="宋体" w:hAnsi="宋体" w:cs="仿宋"/>
                <w:b/>
                <w:sz w:val="24"/>
              </w:rPr>
            </w:pPr>
            <w:r>
              <w:rPr>
                <w:rFonts w:hint="eastAsia" w:ascii="宋体" w:hAnsi="宋体" w:cs="仿宋"/>
                <w:b/>
                <w:sz w:val="24"/>
              </w:rPr>
              <w:t>投标人资格要求</w:t>
            </w:r>
          </w:p>
        </w:tc>
        <w:tc>
          <w:tcPr>
            <w:tcW w:w="6663" w:type="dxa"/>
            <w:vAlign w:val="center"/>
          </w:tcPr>
          <w:p>
            <w:pPr>
              <w:autoSpaceDE w:val="0"/>
              <w:autoSpaceDN w:val="0"/>
              <w:adjustRightInd w:val="0"/>
              <w:spacing w:line="360" w:lineRule="auto"/>
              <w:jc w:val="left"/>
              <w:rPr>
                <w:rFonts w:ascii="宋体" w:hAnsi="宋体" w:cs="仿宋"/>
                <w:sz w:val="24"/>
              </w:rPr>
            </w:pPr>
            <w:r>
              <w:rPr>
                <w:rFonts w:hint="eastAsia" w:ascii="宋体" w:hAnsi="宋体" w:cs="仿宋"/>
                <w:sz w:val="24"/>
              </w:rPr>
              <w:t>1</w:t>
            </w:r>
            <w:r>
              <w:rPr>
                <w:rFonts w:ascii="宋体" w:hAnsi="宋体" w:cs="仿宋"/>
                <w:sz w:val="24"/>
              </w:rPr>
              <w:t>.</w:t>
            </w:r>
            <w:r>
              <w:rPr>
                <w:rFonts w:hint="eastAsia" w:ascii="宋体" w:hAnsi="宋体" w:cs="仿宋"/>
                <w:sz w:val="24"/>
              </w:rPr>
              <w:t>投标人应依法设立并具备承担本招标项目的如下条件：</w:t>
            </w:r>
          </w:p>
          <w:p>
            <w:pPr>
              <w:autoSpaceDE w:val="0"/>
              <w:autoSpaceDN w:val="0"/>
              <w:adjustRightInd w:val="0"/>
              <w:spacing w:line="360" w:lineRule="auto"/>
              <w:jc w:val="left"/>
              <w:rPr>
                <w:rFonts w:hint="eastAsia" w:ascii="宋体" w:hAnsi="宋体" w:cs="仿宋"/>
                <w:sz w:val="24"/>
              </w:rPr>
            </w:pPr>
            <w:r>
              <w:rPr>
                <w:rFonts w:hint="eastAsia" w:ascii="宋体" w:hAnsi="宋体" w:cs="仿宋"/>
                <w:sz w:val="24"/>
              </w:rPr>
              <w:t>1.1投标人资质要求</w:t>
            </w:r>
            <w:r>
              <w:rPr>
                <w:rFonts w:hint="eastAsia" w:ascii="宋体" w:hAnsi="宋体" w:cs="仿宋"/>
                <w:sz w:val="24"/>
                <w:lang w:eastAsia="zh-CN"/>
              </w:rPr>
              <w:t>，</w:t>
            </w:r>
            <w:r>
              <w:rPr>
                <w:rFonts w:hint="eastAsia" w:ascii="宋体" w:hAnsi="宋体" w:cs="仿宋"/>
                <w:sz w:val="24"/>
              </w:rPr>
              <w:t>投标人须同时具备</w:t>
            </w:r>
          </w:p>
          <w:p>
            <w:pPr>
              <w:autoSpaceDE w:val="0"/>
              <w:autoSpaceDN w:val="0"/>
              <w:adjustRightInd w:val="0"/>
              <w:spacing w:line="360" w:lineRule="auto"/>
              <w:jc w:val="left"/>
              <w:rPr>
                <w:rFonts w:hint="eastAsia" w:ascii="宋体" w:hAnsi="宋体" w:cs="仿宋"/>
                <w:sz w:val="24"/>
              </w:rPr>
            </w:pPr>
            <w:r>
              <w:rPr>
                <w:rFonts w:hint="default" w:ascii="宋体" w:hAnsi="宋体" w:cs="仿宋"/>
                <w:sz w:val="24"/>
              </w:rPr>
              <w:t>①</w:t>
            </w:r>
            <w:r>
              <w:rPr>
                <w:rFonts w:hint="eastAsia" w:ascii="宋体" w:hAnsi="宋体" w:cs="仿宋"/>
                <w:sz w:val="24"/>
              </w:rPr>
              <w:t>设计资质：具备建筑行业（建筑工程）甲级设计资质或建筑行业甲级设计资质或工程设计综合资质。</w:t>
            </w:r>
          </w:p>
          <w:p>
            <w:pPr>
              <w:autoSpaceDE w:val="0"/>
              <w:autoSpaceDN w:val="0"/>
              <w:adjustRightInd w:val="0"/>
              <w:spacing w:line="360" w:lineRule="auto"/>
              <w:jc w:val="left"/>
              <w:rPr>
                <w:rFonts w:ascii="宋体" w:hAnsi="宋体" w:cs="仿宋"/>
                <w:sz w:val="24"/>
              </w:rPr>
            </w:pPr>
            <w:r>
              <w:rPr>
                <w:rFonts w:hint="default" w:ascii="宋体" w:hAnsi="宋体" w:cs="仿宋"/>
                <w:sz w:val="24"/>
              </w:rPr>
              <w:t>②</w:t>
            </w:r>
            <w:r>
              <w:rPr>
                <w:rFonts w:hint="eastAsia" w:ascii="宋体" w:hAnsi="宋体" w:cs="仿宋"/>
                <w:sz w:val="24"/>
              </w:rPr>
              <w:t>勘察资质:工程勘察专业类（包含工程测量、岩土工程）甲级资质或工程勘察综合资质。</w:t>
            </w:r>
          </w:p>
          <w:p>
            <w:pPr>
              <w:autoSpaceDE w:val="0"/>
              <w:autoSpaceDN w:val="0"/>
              <w:adjustRightInd w:val="0"/>
              <w:spacing w:line="360" w:lineRule="auto"/>
              <w:jc w:val="left"/>
              <w:rPr>
                <w:rFonts w:ascii="宋体" w:hAnsi="宋体" w:cs="仿宋"/>
                <w:sz w:val="24"/>
              </w:rPr>
            </w:pPr>
            <w:r>
              <w:rPr>
                <w:rFonts w:hint="eastAsia" w:ascii="宋体" w:hAnsi="宋体" w:cs="仿宋"/>
                <w:sz w:val="24"/>
              </w:rPr>
              <w:t>1.2投标人业绩要求：自2020年1月1日以来，投标人须具备至少1个单项合同建筑面积20万平米及以上公共建筑项目设计业绩（设计内容必须包含初步设计）。</w:t>
            </w:r>
          </w:p>
          <w:p>
            <w:pPr>
              <w:autoSpaceDE w:val="0"/>
              <w:autoSpaceDN w:val="0"/>
              <w:adjustRightInd w:val="0"/>
              <w:spacing w:line="360" w:lineRule="auto"/>
              <w:jc w:val="left"/>
              <w:rPr>
                <w:rFonts w:ascii="宋体" w:hAnsi="宋体" w:cs="仿宋"/>
                <w:sz w:val="24"/>
              </w:rPr>
            </w:pPr>
            <w:r>
              <w:rPr>
                <w:rFonts w:hint="eastAsia" w:ascii="宋体" w:hAnsi="宋体" w:cs="仿宋"/>
                <w:sz w:val="24"/>
              </w:rPr>
              <w:t>1.3项目负责人资格要求：项目负责人须具备一级注册建筑师资格。</w:t>
            </w:r>
          </w:p>
          <w:p>
            <w:pPr>
              <w:autoSpaceDE w:val="0"/>
              <w:autoSpaceDN w:val="0"/>
              <w:adjustRightInd w:val="0"/>
              <w:spacing w:line="360" w:lineRule="auto"/>
              <w:jc w:val="left"/>
              <w:rPr>
                <w:rFonts w:ascii="宋体" w:hAnsi="宋体" w:cs="仿宋"/>
                <w:sz w:val="24"/>
              </w:rPr>
            </w:pPr>
            <w:r>
              <w:rPr>
                <w:rFonts w:hint="eastAsia" w:ascii="宋体" w:hAnsi="宋体" w:cs="仿宋"/>
                <w:sz w:val="24"/>
              </w:rPr>
              <w:t>1.4项目负责人业绩要求：</w:t>
            </w:r>
            <w:r>
              <w:rPr>
                <w:rFonts w:hint="eastAsia" w:ascii="宋体" w:hAnsi="宋体" w:cs="仿宋"/>
                <w:sz w:val="24"/>
                <w:u w:val="single"/>
                <w:lang w:val="en-US" w:eastAsia="zh-CN"/>
              </w:rPr>
              <w:t xml:space="preserve"> </w:t>
            </w:r>
            <w:r>
              <w:rPr>
                <w:rFonts w:hint="eastAsia" w:ascii="宋体" w:hAnsi="宋体" w:cs="仿宋"/>
                <w:sz w:val="24"/>
                <w:u w:val="single"/>
              </w:rPr>
              <w:t>/</w:t>
            </w:r>
            <w:r>
              <w:rPr>
                <w:rFonts w:hint="eastAsia" w:ascii="宋体" w:hAnsi="宋体" w:cs="仿宋"/>
                <w:sz w:val="24"/>
              </w:rPr>
              <w:t>。</w:t>
            </w:r>
          </w:p>
          <w:p>
            <w:pPr>
              <w:autoSpaceDE w:val="0"/>
              <w:autoSpaceDN w:val="0"/>
              <w:adjustRightInd w:val="0"/>
              <w:spacing w:line="360" w:lineRule="auto"/>
              <w:jc w:val="left"/>
              <w:rPr>
                <w:rFonts w:ascii="宋体" w:hAnsi="宋体" w:cs="仿宋"/>
                <w:sz w:val="24"/>
              </w:rPr>
            </w:pPr>
            <w:r>
              <w:rPr>
                <w:rFonts w:hint="eastAsia" w:ascii="宋体" w:hAnsi="宋体" w:cs="仿宋"/>
                <w:sz w:val="24"/>
              </w:rPr>
              <w:t>1.5投标人财务要求：</w:t>
            </w:r>
            <w:r>
              <w:rPr>
                <w:rFonts w:hint="eastAsia" w:ascii="宋体" w:hAnsi="宋体" w:cs="仿宋"/>
                <w:sz w:val="24"/>
                <w:u w:val="single"/>
                <w:lang w:val="en-US" w:eastAsia="zh-CN"/>
              </w:rPr>
              <w:t xml:space="preserve"> </w:t>
            </w:r>
            <w:r>
              <w:rPr>
                <w:rFonts w:hint="eastAsia" w:ascii="宋体" w:hAnsi="宋体" w:cs="仿宋"/>
                <w:sz w:val="24"/>
                <w:u w:val="single"/>
              </w:rPr>
              <w:t>/</w:t>
            </w:r>
            <w:r>
              <w:rPr>
                <w:rFonts w:hint="eastAsia" w:ascii="宋体" w:hAnsi="宋体" w:cs="仿宋"/>
                <w:sz w:val="24"/>
              </w:rPr>
              <w:t>。</w:t>
            </w:r>
          </w:p>
          <w:p>
            <w:pPr>
              <w:autoSpaceDE w:val="0"/>
              <w:autoSpaceDN w:val="0"/>
              <w:adjustRightInd w:val="0"/>
              <w:spacing w:line="360" w:lineRule="auto"/>
              <w:jc w:val="left"/>
              <w:rPr>
                <w:rFonts w:ascii="宋体" w:hAnsi="宋体" w:cs="仿宋"/>
                <w:sz w:val="24"/>
              </w:rPr>
            </w:pPr>
            <w:r>
              <w:rPr>
                <w:rFonts w:hint="eastAsia" w:ascii="宋体" w:hAnsi="宋体" w:cs="仿宋"/>
                <w:sz w:val="24"/>
              </w:rPr>
              <w:t>1.6信誉要求：投标人未被合肥市及其所辖县（市）、区（开发区）公共资源交易监督管理部门记不良行为记录的或被记不良行为记录（以公布日期为准），但同时符合下列情形的：</w:t>
            </w:r>
          </w:p>
          <w:p>
            <w:pPr>
              <w:autoSpaceDE w:val="0"/>
              <w:autoSpaceDN w:val="0"/>
              <w:adjustRightInd w:val="0"/>
              <w:spacing w:line="360" w:lineRule="auto"/>
              <w:jc w:val="left"/>
              <w:rPr>
                <w:rFonts w:ascii="宋体" w:hAnsi="宋体" w:cs="仿宋"/>
                <w:sz w:val="24"/>
              </w:rPr>
            </w:pPr>
            <w:r>
              <w:rPr>
                <w:rFonts w:hint="eastAsia" w:ascii="宋体" w:hAnsi="宋体" w:cs="仿宋"/>
                <w:sz w:val="24"/>
              </w:rPr>
              <w:t>（1）开标日前（含当日）6个月内记分累计未满10分的。</w:t>
            </w:r>
          </w:p>
          <w:p>
            <w:pPr>
              <w:autoSpaceDE w:val="0"/>
              <w:autoSpaceDN w:val="0"/>
              <w:adjustRightInd w:val="0"/>
              <w:spacing w:line="360" w:lineRule="auto"/>
              <w:jc w:val="left"/>
              <w:rPr>
                <w:rFonts w:ascii="宋体" w:hAnsi="宋体" w:cs="仿宋"/>
                <w:sz w:val="24"/>
              </w:rPr>
            </w:pPr>
            <w:r>
              <w:rPr>
                <w:rFonts w:hint="eastAsia" w:ascii="宋体" w:hAnsi="宋体" w:cs="仿宋"/>
                <w:sz w:val="24"/>
              </w:rPr>
              <w:t>（2）开标日前（含当日）12个月内记分累计未满15分的。</w:t>
            </w:r>
          </w:p>
          <w:p>
            <w:pPr>
              <w:autoSpaceDE w:val="0"/>
              <w:autoSpaceDN w:val="0"/>
              <w:adjustRightInd w:val="0"/>
              <w:spacing w:line="360" w:lineRule="auto"/>
              <w:jc w:val="left"/>
              <w:rPr>
                <w:rFonts w:ascii="宋体" w:hAnsi="宋体" w:cs="仿宋"/>
                <w:sz w:val="24"/>
              </w:rPr>
            </w:pPr>
            <w:r>
              <w:rPr>
                <w:rFonts w:hint="eastAsia" w:ascii="宋体" w:hAnsi="宋体" w:cs="仿宋"/>
                <w:sz w:val="24"/>
              </w:rPr>
              <w:t>（3）开标日前（含当日）18个月内记分累计未满20分的。</w:t>
            </w:r>
          </w:p>
          <w:p>
            <w:pPr>
              <w:autoSpaceDE w:val="0"/>
              <w:autoSpaceDN w:val="0"/>
              <w:adjustRightInd w:val="0"/>
              <w:spacing w:line="360" w:lineRule="auto"/>
              <w:jc w:val="left"/>
              <w:rPr>
                <w:rFonts w:ascii="宋体" w:hAnsi="宋体" w:cs="仿宋"/>
                <w:sz w:val="24"/>
              </w:rPr>
            </w:pPr>
            <w:r>
              <w:rPr>
                <w:rFonts w:hint="eastAsia" w:ascii="宋体" w:hAnsi="宋体" w:cs="仿宋"/>
                <w:sz w:val="24"/>
              </w:rPr>
              <w:t>（4）开标日前（含当日）24个月内记分累计未满25分的。</w:t>
            </w:r>
          </w:p>
          <w:p>
            <w:pPr>
              <w:autoSpaceDE w:val="0"/>
              <w:autoSpaceDN w:val="0"/>
              <w:adjustRightInd w:val="0"/>
              <w:spacing w:line="360" w:lineRule="auto"/>
              <w:jc w:val="left"/>
              <w:rPr>
                <w:rFonts w:hint="eastAsia" w:ascii="宋体" w:hAnsi="宋体" w:cs="仿宋"/>
                <w:sz w:val="24"/>
              </w:rPr>
            </w:pPr>
            <w:r>
              <w:rPr>
                <w:rFonts w:hint="eastAsia" w:ascii="宋体" w:hAnsi="宋体" w:cs="仿宋"/>
                <w:sz w:val="24"/>
              </w:rPr>
              <w:t>1.7本招标项目接受联合体投标。联合体投标的，应满足下列要求：如组成联合体投标，联合体成员总数量不得超过2家。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2268" w:type="dxa"/>
            <w:vAlign w:val="center"/>
          </w:tcPr>
          <w:p>
            <w:pPr>
              <w:jc w:val="center"/>
              <w:rPr>
                <w:rFonts w:ascii="宋体" w:hAnsi="宋体" w:cs="仿宋"/>
                <w:b/>
                <w:sz w:val="24"/>
              </w:rPr>
            </w:pPr>
            <w:r>
              <w:rPr>
                <w:rFonts w:hint="eastAsia" w:cs="宋体"/>
                <w:sz w:val="24"/>
              </w:rPr>
              <w:t>技术成果经济补偿</w:t>
            </w:r>
          </w:p>
        </w:tc>
        <w:tc>
          <w:tcPr>
            <w:tcW w:w="6663" w:type="dxa"/>
            <w:vAlign w:val="center"/>
          </w:tcPr>
          <w:p>
            <w:pPr>
              <w:snapToGrid w:val="0"/>
              <w:spacing w:line="360" w:lineRule="auto"/>
              <w:jc w:val="left"/>
              <w:rPr>
                <w:rFonts w:cs="宋体"/>
                <w:sz w:val="24"/>
              </w:rPr>
            </w:pPr>
            <w:r>
              <w:rPr>
                <w:rFonts w:hint="eastAsia" w:cs="宋体"/>
                <w:sz w:val="24"/>
              </w:rPr>
              <w:t>1.本项目最终得分最高的为中标人，承担本项目后续设计工作，其设计方案无任何费用补偿。给予第二中标候选人方案补偿费15万元，第三中标候选人方案补偿费10万元，该费用包含在中标人的设计费中，由中标人支付。</w:t>
            </w:r>
          </w:p>
          <w:p>
            <w:pPr>
              <w:snapToGrid w:val="0"/>
              <w:spacing w:line="360" w:lineRule="auto"/>
              <w:jc w:val="left"/>
              <w:rPr>
                <w:rFonts w:cs="宋体"/>
                <w:sz w:val="24"/>
              </w:rPr>
            </w:pPr>
            <w:r>
              <w:rPr>
                <w:rFonts w:hint="eastAsia" w:cs="宋体"/>
                <w:sz w:val="24"/>
              </w:rPr>
              <w:t>2.中标后，在招标人与中标人设计合同签署生效后30天内，中标人负责向上述应获得补偿的投标人支付方案补偿费，由上述获得补偿费的投标人向中标人提供足额发票。</w:t>
            </w:r>
          </w:p>
          <w:p>
            <w:pPr>
              <w:snapToGrid w:val="0"/>
              <w:spacing w:line="360" w:lineRule="auto"/>
              <w:jc w:val="left"/>
              <w:rPr>
                <w:rFonts w:cs="宋体"/>
                <w:sz w:val="24"/>
              </w:rPr>
            </w:pPr>
            <w:r>
              <w:rPr>
                <w:rFonts w:hint="eastAsia" w:cs="宋体"/>
                <w:sz w:val="24"/>
              </w:rPr>
              <w:t>3.中标人在支付上述投标人设计补偿费后，获得设计补偿费的投标人的设计方案，知识产权归招标人所有，招标人享有获得设计补偿费的投标人的设计成果。</w:t>
            </w:r>
          </w:p>
          <w:p>
            <w:pPr>
              <w:autoSpaceDE w:val="0"/>
              <w:autoSpaceDN w:val="0"/>
              <w:adjustRightInd w:val="0"/>
              <w:spacing w:line="360" w:lineRule="auto"/>
              <w:jc w:val="left"/>
              <w:rPr>
                <w:rFonts w:ascii="宋体" w:hAnsi="宋体" w:cs="仿宋"/>
                <w:color w:val="FF0000"/>
                <w:sz w:val="24"/>
              </w:rPr>
            </w:pPr>
            <w:r>
              <w:rPr>
                <w:rFonts w:hint="eastAsia" w:cs="宋体"/>
                <w:sz w:val="24"/>
              </w:rPr>
              <w:t>4.支付设计补偿费之前，中标人及获得设计补偿的投标人需向招标人</w:t>
            </w:r>
            <w:r>
              <w:rPr>
                <w:rFonts w:ascii="Leelawadee UI" w:hAnsi="Leelawadee UI" w:cs="Leelawadee UI"/>
                <w:sz w:val="24"/>
              </w:rPr>
              <w:t>提</w:t>
            </w:r>
            <w:r>
              <w:rPr>
                <w:rFonts w:hint="eastAsia" w:cs="宋体"/>
                <w:sz w:val="24"/>
              </w:rPr>
              <w:t>供与投标时一致的设计方案的文件资料（包含全套解密电子版文件），一式二份，否则不予支付设计补偿费。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2268" w:type="dxa"/>
            <w:vAlign w:val="center"/>
          </w:tcPr>
          <w:p>
            <w:pPr>
              <w:jc w:val="center"/>
              <w:rPr>
                <w:rFonts w:ascii="宋体" w:hAnsi="宋体" w:cs="仿宋"/>
                <w:b/>
                <w:sz w:val="24"/>
              </w:rPr>
            </w:pPr>
            <w:r>
              <w:rPr>
                <w:rFonts w:hint="eastAsia" w:ascii="宋体" w:hAnsi="宋体" w:cs="仿宋"/>
                <w:b/>
                <w:sz w:val="24"/>
              </w:rPr>
              <w:t>发包人要求</w:t>
            </w:r>
          </w:p>
        </w:tc>
        <w:tc>
          <w:tcPr>
            <w:tcW w:w="6663" w:type="dxa"/>
            <w:vAlign w:val="center"/>
          </w:tcPr>
          <w:p>
            <w:pPr>
              <w:autoSpaceDE w:val="0"/>
              <w:autoSpaceDN w:val="0"/>
              <w:adjustRightInd w:val="0"/>
              <w:spacing w:line="360" w:lineRule="auto"/>
              <w:jc w:val="left"/>
              <w:rPr>
                <w:rFonts w:ascii="宋体" w:hAnsi="宋体" w:cs="仿宋"/>
                <w:sz w:val="24"/>
              </w:rPr>
            </w:pPr>
            <w:r>
              <w:rPr>
                <w:rFonts w:hint="eastAsia" w:ascii="宋体" w:hAnsi="宋体" w:cs="仿宋"/>
                <w:sz w:val="24"/>
              </w:rPr>
              <w:t>具体见附件1</w:t>
            </w:r>
          </w:p>
        </w:tc>
      </w:tr>
    </w:tbl>
    <w:p>
      <w:pPr>
        <w:spacing w:line="360" w:lineRule="auto"/>
        <w:jc w:val="center"/>
        <w:rPr>
          <w:rFonts w:ascii="黑体" w:hAnsi="黑体" w:eastAsia="黑体" w:cs="黑体"/>
          <w:bCs/>
          <w:snapToGrid w:val="0"/>
          <w:kern w:val="0"/>
          <w:sz w:val="32"/>
          <w:szCs w:val="32"/>
        </w:rPr>
      </w:pPr>
      <w:r>
        <w:rPr>
          <w:rFonts w:ascii="黑体" w:hAnsi="黑体" w:eastAsia="黑体" w:cs="黑体"/>
          <w:bCs/>
          <w:snapToGrid w:val="0"/>
          <w:kern w:val="0"/>
          <w:sz w:val="32"/>
          <w:szCs w:val="32"/>
        </w:rPr>
        <w:br w:type="page"/>
      </w:r>
    </w:p>
    <w:p>
      <w:pPr>
        <w:spacing w:line="360" w:lineRule="auto"/>
        <w:jc w:val="center"/>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附件1发包人要求</w:t>
      </w:r>
    </w:p>
    <w:p>
      <w:pPr>
        <w:spacing w:line="360" w:lineRule="auto"/>
        <w:ind w:firstLine="482" w:firstLineChars="200"/>
        <w:rPr>
          <w:rFonts w:ascii="宋体" w:hAnsi="宋体" w:cs="宋体"/>
          <w:b/>
          <w:bCs/>
          <w:sz w:val="24"/>
        </w:rPr>
      </w:pPr>
      <w:r>
        <w:rPr>
          <w:rFonts w:hint="eastAsia" w:ascii="宋体" w:hAnsi="宋体" w:cs="宋体"/>
          <w:b/>
          <w:bCs/>
          <w:sz w:val="24"/>
        </w:rPr>
        <w:t>一、项目概况</w:t>
      </w:r>
    </w:p>
    <w:p>
      <w:pPr>
        <w:spacing w:line="360" w:lineRule="auto"/>
        <w:ind w:firstLine="480" w:firstLineChars="200"/>
        <w:rPr>
          <w:rFonts w:ascii="宋体" w:hAnsi="宋体" w:cs="宋体"/>
          <w:sz w:val="24"/>
        </w:rPr>
      </w:pPr>
      <w:r>
        <w:rPr>
          <w:rFonts w:hint="eastAsia" w:ascii="宋体" w:hAnsi="宋体" w:cs="宋体"/>
          <w:sz w:val="24"/>
        </w:rPr>
        <w:t>安徽城市管理职业学院新桥校区，位于安徽省寿县新桥国际产业园迎宾大道与共建路西南侧，首期规划用地面积约492亩，总建筑面积约34.67万平方米。估算约17.87亿元（其中建筑安装工程费约15.25亿元）。本着一次规划、多期建设为目标，新桥校区建设内容主要包括专业实训教学用房及场所、教学楼、图书馆、行政楼与信息中心、室内体育用房、二级学院及教师办公用房、大学生活动用房及礼堂、学生宿舍、食堂、地下人防和停车场、后勤及附属用房等工程。</w:t>
      </w:r>
    </w:p>
    <w:p>
      <w:pPr>
        <w:widowControl/>
        <w:spacing w:line="360" w:lineRule="auto"/>
        <w:ind w:firstLine="482" w:firstLineChars="200"/>
        <w:jc w:val="left"/>
        <w:rPr>
          <w:rFonts w:ascii="宋体" w:hAnsi="宋体" w:cs="宋体"/>
          <w:kern w:val="0"/>
          <w:sz w:val="24"/>
        </w:rPr>
      </w:pPr>
      <w:r>
        <w:rPr>
          <w:rFonts w:hint="eastAsia" w:ascii="宋体" w:hAnsi="宋体" w:cs="宋体"/>
          <w:b/>
          <w:bCs/>
          <w:kern w:val="0"/>
          <w:sz w:val="24"/>
        </w:rPr>
        <w:t>二、设计范围及内容</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设计范围：安徽城市管理职业学院新桥校区修建性详细规划、建筑方案设计及初步设计。</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设计内容包括但不限于：</w:t>
      </w:r>
      <w:r>
        <w:rPr>
          <w:rFonts w:hint="eastAsia" w:ascii="宋体" w:hAnsi="宋体" w:cs="宋体"/>
          <w:sz w:val="24"/>
        </w:rPr>
        <w:t>安徽城市管理职业学院新桥校区项目本着一次总体项目修建性详细规划、建筑方案设计、工程勘察、初步设计的原则。具体内容如下：</w:t>
      </w:r>
    </w:p>
    <w:p>
      <w:pPr>
        <w:widowControl/>
        <w:spacing w:line="360" w:lineRule="auto"/>
        <w:ind w:firstLine="480" w:firstLineChars="200"/>
        <w:jc w:val="left"/>
        <w:rPr>
          <w:rFonts w:ascii="宋体" w:hAnsi="宋体" w:cs="宋体"/>
          <w:sz w:val="24"/>
        </w:rPr>
      </w:pPr>
      <w:r>
        <w:rPr>
          <w:rFonts w:hint="eastAsia" w:ascii="宋体" w:hAnsi="宋体" w:cs="宋体"/>
          <w:sz w:val="24"/>
        </w:rPr>
        <w:t>工程设计范围、阶段与服务内容</w:t>
      </w:r>
    </w:p>
    <w:p>
      <w:pPr>
        <w:widowControl/>
        <w:spacing w:line="360" w:lineRule="auto"/>
        <w:ind w:firstLine="480" w:firstLineChars="200"/>
        <w:jc w:val="left"/>
        <w:rPr>
          <w:rFonts w:ascii="宋体" w:hAnsi="宋体" w:cs="宋体"/>
          <w:sz w:val="24"/>
        </w:rPr>
      </w:pPr>
      <w:r>
        <w:rPr>
          <w:rFonts w:hint="eastAsia" w:ascii="宋体" w:hAnsi="宋体" w:cs="宋体"/>
          <w:sz w:val="24"/>
        </w:rPr>
        <w:t>（一）本工程设计范围</w:t>
      </w:r>
    </w:p>
    <w:p>
      <w:pPr>
        <w:widowControl/>
        <w:spacing w:line="360" w:lineRule="auto"/>
        <w:ind w:firstLine="480" w:firstLineChars="200"/>
        <w:jc w:val="left"/>
        <w:rPr>
          <w:rFonts w:ascii="宋体" w:hAnsi="宋体" w:cs="宋体"/>
          <w:sz w:val="24"/>
        </w:rPr>
      </w:pPr>
      <w:r>
        <w:rPr>
          <w:rFonts w:hint="eastAsia" w:ascii="宋体" w:hAnsi="宋体" w:cs="宋体"/>
          <w:sz w:val="24"/>
        </w:rPr>
        <w:t>规划用地范围的总平面规划设计及相关的建筑物、构筑物的有关建筑、结构、给水排水、暖通空调、建筑电气的方案及初步设计阶段、负责专项评估报告编制（包括但不限于交通影响评价报告、水土保持方案、环境影响评价报告、建筑节能评估报告、绿色建筑设计方案等）及评审工作。主要包含如下：</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1.</w:t>
      </w:r>
      <w:r>
        <w:rPr>
          <w:rFonts w:hint="eastAsia" w:ascii="宋体" w:hAnsi="宋体" w:cs="宋体"/>
          <w:sz w:val="24"/>
        </w:rPr>
        <w:t>修建性详细规划及各阶段工程方案及初步设计，包含不限于建筑、人防、专项设计（深基坑专项设计、建筑智能化设计等）、结构、强电、智能化（含配合第三方智慧校园设计）、暖通、给排水、消防、室内外装饰装修、室外幕墙、风景园林、照明等专业成果文件且确保达到节能、绿色建筑等要求。</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2.</w:t>
      </w:r>
      <w:r>
        <w:rPr>
          <w:rFonts w:hint="eastAsia" w:ascii="宋体" w:hAnsi="宋体" w:cs="宋体"/>
          <w:sz w:val="24"/>
        </w:rPr>
        <w:t>综合管网：按发包人要求进行以下全部或部分专业方案及初步设计：道路、雨污水管网、通讯、宽带、供水、供电、标线系统、标识系统等的方案及初步设计。</w:t>
      </w:r>
    </w:p>
    <w:p>
      <w:pPr>
        <w:widowControl/>
        <w:spacing w:line="360" w:lineRule="auto"/>
        <w:ind w:firstLine="480" w:firstLineChars="200"/>
        <w:jc w:val="left"/>
        <w:rPr>
          <w:rFonts w:ascii="宋体" w:hAnsi="宋体" w:cs="宋体"/>
          <w:kern w:val="0"/>
          <w:sz w:val="24"/>
        </w:rPr>
      </w:pPr>
      <w:r>
        <w:rPr>
          <w:rFonts w:hint="eastAsia" w:ascii="宋体" w:hAnsi="宋体" w:cs="宋体"/>
          <w:sz w:val="24"/>
          <w:lang w:val="en-US" w:eastAsia="zh-CN"/>
        </w:rPr>
        <w:t>3.</w:t>
      </w:r>
      <w:r>
        <w:rPr>
          <w:rFonts w:hint="eastAsia" w:ascii="宋体" w:hAnsi="宋体" w:cs="宋体"/>
          <w:sz w:val="24"/>
        </w:rPr>
        <w:t>设计配合服务：设计人须从合同签订之日直至项目竣工验收完毕期间做好设计配合服务工作。</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（二）本工程设计阶段划分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修建性详细规划、方案设计、初步设计、施工图设计配合及施工配合五个阶段的服务内容。</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1．修建性详细规划，建设条件分析及综合技术经济论证</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建筑、道路和绿地等的空间布局和景观规划设计，布置总平面图。对本项目中的建筑进行日照分析。根据交通影响分析，</w:t>
      </w:r>
      <w:r>
        <w:rPr>
          <w:rFonts w:ascii="宋体" w:hAnsi="宋体" w:cs="Leelawadee UI"/>
          <w:kern w:val="0"/>
          <w:sz w:val="24"/>
        </w:rPr>
        <w:t>提</w:t>
      </w:r>
      <w:r>
        <w:rPr>
          <w:rFonts w:hint="eastAsia" w:ascii="宋体" w:hAnsi="宋体" w:cs="宋体"/>
          <w:kern w:val="0"/>
          <w:sz w:val="24"/>
        </w:rPr>
        <w:t>出交通组织方案和设计。市政工程管线规划设计和管线综合。竖向规划设计。估算工程量和总造价，分析投资效益，并满足招标人、规划主管部门及《城市规划编制办法》中的要求。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2．方案设计阶段</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（1）与发包人及发包人聘用的顾问充分沟通，深入研究项目基础资料，协助发包人</w:t>
      </w:r>
      <w:r>
        <w:rPr>
          <w:rFonts w:ascii="宋体" w:hAnsi="宋体" w:cs="Leelawadee UI"/>
          <w:kern w:val="0"/>
          <w:sz w:val="24"/>
        </w:rPr>
        <w:t>提</w:t>
      </w:r>
      <w:r>
        <w:rPr>
          <w:rFonts w:hint="eastAsia" w:ascii="宋体" w:hAnsi="宋体" w:cs="宋体"/>
          <w:kern w:val="0"/>
          <w:sz w:val="24"/>
        </w:rPr>
        <w:t>出本项目的发展规划和市场潜力。</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（2）完成总体规划和方案设计，</w:t>
      </w:r>
      <w:r>
        <w:rPr>
          <w:rFonts w:ascii="宋体" w:hAnsi="宋体" w:cs="Leelawadee UI"/>
          <w:kern w:val="0"/>
          <w:sz w:val="24"/>
        </w:rPr>
        <w:t>提</w:t>
      </w:r>
      <w:r>
        <w:rPr>
          <w:rFonts w:hint="eastAsia" w:ascii="宋体" w:hAnsi="宋体" w:cs="宋体"/>
          <w:kern w:val="0"/>
          <w:sz w:val="24"/>
        </w:rPr>
        <w:t>供满足深度的方案设计图纸，并制作符合政府部门要求的规划意见书与设计方案报批文件，协助发包人进行报批工作。</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（3）根据政府部门的审批意见在本合同约定的范围内对设计方案进行修改和必要的调整，以通过政府部门审查批准。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（4）负责进行人防、消防、交通、绿化及市政管网等方面的咨询工作。</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（5）负责完成人防、消防等规划方案，完成报批工作。</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（6）负责交通影响评价报告、水土保持方案、环境影响评价报告、建筑节能评估报告、绿色建筑设计方案等专项评估的编制及评审工作，以通过政府相关部门审查批准。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3．初步设计阶段</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负责完成并制作建筑、人防、专项设计（深基坑专项设计、建筑智能化设计等）、结构、强电、智能化（含配合第三方智慧校园设计）、暖通、给排水、消防、室内外装饰装修、室外幕墙、风景园林、照明、室外管线综合等专业的初步设计文件及编制投资估算文件，设计内容和深度应满足政府相关规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（2）制作报政府相关部门进行初步设计审查的设计图纸，配合发包人进行交通、园林、人防、消防、供电、市政、气象等各部门的报审工作，</w:t>
      </w:r>
      <w:r>
        <w:rPr>
          <w:rFonts w:ascii="宋体" w:hAnsi="宋体" w:cs="Leelawadee UI"/>
          <w:kern w:val="0"/>
          <w:sz w:val="24"/>
        </w:rPr>
        <w:t>提</w:t>
      </w:r>
      <w:r>
        <w:rPr>
          <w:rFonts w:hint="eastAsia" w:ascii="宋体" w:hAnsi="宋体" w:cs="宋体"/>
          <w:kern w:val="0"/>
          <w:sz w:val="24"/>
        </w:rPr>
        <w:t>供相关的工程用量参数，并负责有关解释和修改。</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编制初步设计概算，分解投资估算与初步设计概算同口径对比，开展初步设计阶段限额设计和优化投资结构。如初步设计概算需报发展改革部门审批，配合发包人申报初步设计概算，配合初步设计评审和初步设计概算审核。</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4.施工图设计阶段配合服务</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（1）根据发包人要求，组织各专业设计人员向施工图设计单位进行施工图设计前的交底工作，安排各专业设计人员与施工图设计单位的深入沟通，确保方案及初步设计意图的实现。</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（2）根据发包人要求，及时参加与设计有关的专题会，现场解决技术问题。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5.施工配合阶段</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（1）配合服务</w:t>
      </w:r>
      <w:r>
        <w:rPr>
          <w:rFonts w:hint="eastAsia" w:ascii="宋体" w:hAnsi="宋体" w:cs="宋体"/>
          <w:kern w:val="0"/>
          <w:sz w:val="24"/>
          <w:lang w:eastAsia="zh-CN"/>
        </w:rPr>
        <w:t>，</w:t>
      </w:r>
      <w:r>
        <w:rPr>
          <w:rFonts w:hint="eastAsia" w:ascii="宋体" w:hAnsi="宋体" w:cs="宋体"/>
          <w:kern w:val="0"/>
          <w:sz w:val="24"/>
        </w:rPr>
        <w:t>设计人须从合同签订之日直至项目竣工验收完毕期间做好设计配合服务工作，工程开工后，设计人应积极配合施工现场服务,应按照工程进度要求设置设计工程师定期到现场指导、配合施工。</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（2）根据发包人要求，及时参加与设计、施工有关的专题会，现场解决技术问题。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（3）协助发包人处理工程洽商和设计变更，负责有关设计修改，及时办理相关手续。</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（4）参与设计人相关的必要的验收以及项目竣工验收工作，并及时办理相关手续。</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w:t>
      </w:r>
      <w:r>
        <w:rPr>
          <w:rFonts w:ascii="宋体" w:hAnsi="宋体" w:cs="Leelawadee UI"/>
          <w:kern w:val="0"/>
          <w:sz w:val="24"/>
        </w:rPr>
        <w:t>提</w:t>
      </w:r>
      <w:r>
        <w:rPr>
          <w:rFonts w:hint="eastAsia" w:ascii="宋体" w:hAnsi="宋体" w:cs="宋体"/>
          <w:kern w:val="0"/>
          <w:sz w:val="24"/>
        </w:rPr>
        <w:t>供产品选型、设备加工订货、建筑材料选择以及分包商考察等技术咨询工作。</w:t>
      </w:r>
    </w:p>
    <w:p>
      <w:pPr>
        <w:widowControl/>
        <w:spacing w:line="360" w:lineRule="auto"/>
        <w:ind w:firstLine="480" w:firstLineChars="200"/>
        <w:jc w:val="left"/>
        <w:rPr>
          <w:rFonts w:ascii="宋体" w:hAnsi="宋体" w:cs="宋体"/>
          <w:kern w:val="0"/>
          <w:sz w:val="24"/>
        </w:rPr>
      </w:pPr>
      <w:commentRangeStart w:id="0"/>
      <w:r>
        <w:rPr>
          <w:rFonts w:hint="eastAsia" w:ascii="宋体" w:hAnsi="宋体" w:cs="宋体"/>
          <w:kern w:val="0"/>
          <w:sz w:val="24"/>
        </w:rPr>
        <w:t>（6）应发包人要求协助审核各分包商的设计文件是否满足接口条件并签署意见，以保证其与总体设计协调一致，并满足工程要求。</w:t>
      </w:r>
      <w:commentRangeEnd w:id="0"/>
      <w:r>
        <w:rPr>
          <w:rStyle w:val="63"/>
        </w:rPr>
        <w:commentReference w:id="0"/>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特别</w:t>
      </w:r>
      <w:r>
        <w:rPr>
          <w:rFonts w:ascii="宋体" w:hAnsi="宋体" w:cs="Leelawadee UI"/>
          <w:kern w:val="0"/>
          <w:sz w:val="24"/>
        </w:rPr>
        <w:t>提</w:t>
      </w:r>
      <w:r>
        <w:rPr>
          <w:rFonts w:hint="eastAsia" w:ascii="宋体" w:hAnsi="宋体" w:cs="宋体"/>
          <w:kern w:val="0"/>
          <w:sz w:val="24"/>
        </w:rPr>
        <w:t>示：</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设计人若不具备相关专项资质的，可依法委托其他具备相应专业资质的且有类似专业设计或咨询业绩的公司完成，但需报经招标人备案。委托单位不具备相应能力的，招标人有权要求设计人无条件更换。设计人须对其成果负总责，所有费用已包含在合同价内。</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中标人需根据招标人要求，结合设计方案成果，制作符合招标人要求的方案展示模型（含渲染）和展示视频等设计方案衍生品，具体制作内容、时长等要求以招标人书面函件为准，所有费用均含在合同价中，招标人不再另行支付，中标人不得拒绝此项任务，否则招标人有权拒绝支付设计费。</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（3）中标单位须无偿整合、完善获得设计补偿费的投标人建筑设计方案。</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（4）方案设计过程中，可能存在多轮修改调整，中标人需无偿按招标人要求的时间节点完成修改直至满足招标人要求。</w:t>
      </w:r>
    </w:p>
    <w:p>
      <w:pPr>
        <w:widowControl/>
        <w:spacing w:line="360" w:lineRule="auto"/>
        <w:ind w:firstLine="482" w:firstLineChars="200"/>
        <w:jc w:val="left"/>
        <w:rPr>
          <w:rFonts w:ascii="宋体" w:hAnsi="宋体" w:cs="宋体"/>
          <w:kern w:val="0"/>
          <w:sz w:val="24"/>
        </w:rPr>
      </w:pPr>
      <w:r>
        <w:rPr>
          <w:rFonts w:hint="eastAsia" w:ascii="宋体" w:hAnsi="宋体" w:cs="宋体"/>
          <w:b/>
          <w:bCs/>
          <w:kern w:val="0"/>
          <w:sz w:val="24"/>
        </w:rPr>
        <w:t>三、设计总体要求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一</w:t>
      </w:r>
      <w:r>
        <w:rPr>
          <w:rFonts w:hint="eastAsia" w:ascii="宋体" w:hAnsi="宋体" w:cs="宋体"/>
          <w:kern w:val="0"/>
          <w:sz w:val="24"/>
          <w:lang w:eastAsia="zh-CN"/>
        </w:rPr>
        <w:t>）</w:t>
      </w:r>
      <w:r>
        <w:rPr>
          <w:rFonts w:hint="eastAsia" w:ascii="宋体" w:hAnsi="宋体" w:cs="宋体"/>
          <w:kern w:val="0"/>
          <w:sz w:val="24"/>
        </w:rPr>
        <w:t>设计要求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设计必须以国家法律法规、淮南市城市规划管理技术规定、地方有关标准、规范以及控制性详细规划为依据，按招标文件、投标承诺、合同书内容和质量要求按时</w:t>
      </w:r>
      <w:r>
        <w:rPr>
          <w:rFonts w:ascii="宋体" w:hAnsi="宋体" w:cs="Leelawadee UI"/>
          <w:kern w:val="0"/>
          <w:sz w:val="24"/>
        </w:rPr>
        <w:t>提</w:t>
      </w:r>
      <w:r>
        <w:rPr>
          <w:rFonts w:hint="eastAsia" w:ascii="宋体" w:hAnsi="宋体" w:cs="宋体"/>
          <w:kern w:val="0"/>
          <w:sz w:val="24"/>
        </w:rPr>
        <w:t>交成果，并通过相关部门的审批。具体要求如下：</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设计需符合规范要求，确保通过各项专项审查。</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设计人自行设计的供电、供水等专业设计必须确保通过职能部门审查，投标人投标时应充分考虑费用标准，所有工作均由设计人独立完成，发包人不负责相关协调该部分工作，所发生费用均含在设计费用内。如设计人未按发包人要求的时间完成供电、供水设计及审查工作，或设计人设计成果不能满足发包人需求时，发包人有权将该部分设计工作另行委托专业设计单位进行设计，所发生的费用（按国家2002年勘察设计收费标准计算）从设计人设计费中直接扣除，由发包人直接支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本项目单体需按绿色建筑二星标准设计。在设计时应充分考虑，设计费不予调整。</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设计人对设计深度和质量负责，发包人、政府部门或相关单位的审查并不减少设计人的责任。如因设计文件未获政府批准，设计人还应承担反复修改设计的责任与工作，招标人不再另行支付任何费用。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二</w:t>
      </w:r>
      <w:r>
        <w:rPr>
          <w:rFonts w:hint="eastAsia" w:ascii="宋体" w:hAnsi="宋体" w:cs="宋体"/>
          <w:kern w:val="0"/>
          <w:sz w:val="24"/>
          <w:lang w:eastAsia="zh-CN"/>
        </w:rPr>
        <w:t>）</w:t>
      </w:r>
      <w:r>
        <w:rPr>
          <w:rFonts w:hint="eastAsia" w:ascii="宋体" w:hAnsi="宋体" w:cs="宋体"/>
          <w:kern w:val="0"/>
          <w:sz w:val="24"/>
        </w:rPr>
        <w:t>设计人员要求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设计项目负责人资格要求：拟委任项目负责人须具备一级注册建筑师资格。</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勘察项目负责人资格要求：拟委任项目负责人具备国家注册土木工程师（岩土）执业资格证书。</w:t>
      </w:r>
    </w:p>
    <w:p>
      <w:pPr>
        <w:widowControl/>
        <w:spacing w:line="360" w:lineRule="auto"/>
        <w:ind w:firstLine="480" w:firstLineChars="200"/>
        <w:jc w:val="left"/>
        <w:rPr>
          <w:rFonts w:ascii="宋体" w:hAnsi="宋体" w:cs="宋体"/>
          <w:sz w:val="24"/>
        </w:rPr>
      </w:pPr>
      <w:r>
        <w:rPr>
          <w:rFonts w:hint="eastAsia" w:ascii="宋体" w:hAnsi="宋体" w:cs="宋体"/>
          <w:kern w:val="0"/>
          <w:sz w:val="24"/>
          <w:lang w:val="en-US" w:eastAsia="zh-CN"/>
        </w:rPr>
        <w:t>3.</w:t>
      </w:r>
      <w:r>
        <w:rPr>
          <w:rFonts w:hint="eastAsia" w:ascii="宋体" w:hAnsi="宋体" w:cs="宋体"/>
          <w:kern w:val="0"/>
          <w:sz w:val="24"/>
        </w:rPr>
        <w:t>项目其他主要人员最低要求</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850"/>
        <w:gridCol w:w="5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kern w:val="0"/>
                <w:sz w:val="24"/>
              </w:rPr>
            </w:pPr>
            <w:r>
              <w:rPr>
                <w:rFonts w:hint="eastAsia" w:ascii="宋体" w:hAnsi="宋体" w:cs="宋体"/>
                <w:b/>
                <w:kern w:val="0"/>
                <w:sz w:val="24"/>
              </w:rPr>
              <w:t>人员岗位</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kern w:val="0"/>
                <w:sz w:val="24"/>
              </w:rPr>
            </w:pPr>
            <w:r>
              <w:rPr>
                <w:rFonts w:hint="eastAsia" w:ascii="宋体" w:hAnsi="宋体" w:cs="宋体"/>
                <w:b/>
                <w:kern w:val="0"/>
                <w:sz w:val="24"/>
              </w:rPr>
              <w:t>数量</w:t>
            </w:r>
          </w:p>
        </w:tc>
        <w:tc>
          <w:tcPr>
            <w:tcW w:w="5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kern w:val="0"/>
                <w:sz w:val="24"/>
              </w:rPr>
            </w:pPr>
            <w:r>
              <w:rPr>
                <w:rFonts w:hint="eastAsia" w:ascii="宋体" w:hAnsi="宋体" w:cs="宋体"/>
                <w:b/>
                <w:kern w:val="0"/>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sz w:val="24"/>
              </w:rPr>
              <w:t>建筑专业设计负责人</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53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sz w:val="24"/>
              </w:rPr>
              <w:t>一级注册建筑师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sz w:val="24"/>
              </w:rPr>
              <w:t>结构专业负责人</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53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sz w:val="24"/>
              </w:rPr>
              <w:t>一级注册结构师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sz w:val="24"/>
              </w:rPr>
              <w:t>勘察专业负责人</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ascii="宋体" w:hAnsi="宋体" w:cs="宋体"/>
                <w:sz w:val="24"/>
              </w:rPr>
              <w:t>1</w:t>
            </w:r>
          </w:p>
        </w:tc>
        <w:tc>
          <w:tcPr>
            <w:tcW w:w="53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sz w:val="24"/>
              </w:rPr>
              <w:t>注册土木工程师（岩土）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园林专业负责人</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531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造价专业负责人</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531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给排水专业设计负责人</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531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注册公用设备工程师(给排水)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电气专业设计负责人</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531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暖通专业设计负责人</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531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智能化专业设计负责人</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531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bl>
    <w:p>
      <w:pPr>
        <w:widowControl/>
        <w:spacing w:line="360" w:lineRule="auto"/>
        <w:ind w:firstLine="482" w:firstLineChars="200"/>
        <w:jc w:val="left"/>
        <w:rPr>
          <w:rFonts w:ascii="宋体" w:hAnsi="宋体" w:cs="宋体"/>
          <w:kern w:val="0"/>
          <w:sz w:val="24"/>
        </w:rPr>
      </w:pPr>
      <w:r>
        <w:rPr>
          <w:rFonts w:hint="eastAsia" w:ascii="宋体" w:hAnsi="宋体" w:cs="宋体"/>
          <w:b/>
          <w:bCs/>
          <w:kern w:val="0"/>
          <w:sz w:val="24"/>
        </w:rPr>
        <w:t>四、设计成果文件要求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各阶段成果要求设计方须根据招标人的需求</w:t>
      </w:r>
      <w:r>
        <w:rPr>
          <w:rFonts w:ascii="宋体" w:hAnsi="宋体" w:cs="Leelawadee UI"/>
          <w:kern w:val="0"/>
          <w:sz w:val="24"/>
        </w:rPr>
        <w:t>提</w:t>
      </w:r>
      <w:r>
        <w:rPr>
          <w:rFonts w:hint="eastAsia" w:ascii="宋体" w:hAnsi="宋体" w:cs="宋体"/>
          <w:kern w:val="0"/>
          <w:sz w:val="24"/>
        </w:rPr>
        <w:t>供设计成果，包括但不限于以下成果。</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（一）方案阶段</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设计说明书</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区位示意图</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总平面图及单体建筑方案</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鸟瞰及效果图</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功能结果分析图</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动态交通流线分析</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景观设计图（含绿化）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建筑立面效果图</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9.</w:t>
      </w:r>
      <w:r>
        <w:rPr>
          <w:rFonts w:hint="eastAsia" w:ascii="宋体" w:hAnsi="宋体" w:cs="宋体"/>
          <w:kern w:val="0"/>
          <w:sz w:val="24"/>
        </w:rPr>
        <w:t>建筑剖面图</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10.</w:t>
      </w:r>
      <w:r>
        <w:rPr>
          <w:rFonts w:hint="eastAsia" w:ascii="宋体" w:hAnsi="宋体" w:cs="宋体"/>
          <w:kern w:val="0"/>
          <w:sz w:val="24"/>
        </w:rPr>
        <w:t>交通组织设计图</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11.</w:t>
      </w:r>
      <w:r>
        <w:rPr>
          <w:rFonts w:hint="eastAsia" w:ascii="宋体" w:hAnsi="宋体" w:cs="宋体"/>
          <w:kern w:val="0"/>
          <w:sz w:val="24"/>
        </w:rPr>
        <w:t>管线综合设计图</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12.</w:t>
      </w:r>
      <w:r>
        <w:rPr>
          <w:rFonts w:hint="eastAsia" w:ascii="宋体" w:hAnsi="宋体" w:cs="宋体"/>
          <w:kern w:val="0"/>
          <w:sz w:val="24"/>
        </w:rPr>
        <w:t>竖向设计图</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13.</w:t>
      </w:r>
      <w:r>
        <w:rPr>
          <w:rFonts w:hint="eastAsia" w:ascii="宋体" w:hAnsi="宋体" w:cs="宋体"/>
          <w:kern w:val="0"/>
          <w:sz w:val="24"/>
        </w:rPr>
        <w:t>内部空间景观意向引导图</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14.</w:t>
      </w:r>
      <w:r>
        <w:rPr>
          <w:rFonts w:hint="eastAsia" w:ascii="宋体" w:hAnsi="宋体" w:cs="宋体"/>
          <w:kern w:val="0"/>
          <w:sz w:val="24"/>
        </w:rPr>
        <w:t>建筑亮化效果图</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（二）初步设计阶段（如有）根据批准后的规划设计方案，按招标人需求，在合约时间内，按照设计总承包要求，完成全套初步设计文件和概算编制，并协助招标人按规定报政府主管部门批准。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三</w:t>
      </w:r>
      <w:r>
        <w:rPr>
          <w:rFonts w:hint="eastAsia" w:ascii="宋体" w:hAnsi="宋体" w:cs="宋体"/>
          <w:kern w:val="0"/>
          <w:sz w:val="24"/>
          <w:lang w:eastAsia="zh-CN"/>
        </w:rPr>
        <w:t>）</w:t>
      </w:r>
      <w:r>
        <w:rPr>
          <w:rFonts w:hint="eastAsia" w:ascii="宋体" w:hAnsi="宋体" w:cs="宋体"/>
          <w:kern w:val="0"/>
          <w:sz w:val="24"/>
        </w:rPr>
        <w:t>成果文件的深度</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按《建筑工程设计文件编制深度规定（2016版）》中对于建筑方案及初步设计要求，并将成果文件通过相关部门审批。包括但不限于本项目的项目方案设计、初步设计及项目概算编制（概算价格不得与预算价格偏差大于5</w:t>
      </w:r>
      <w:r>
        <w:rPr>
          <w:rFonts w:ascii="宋体" w:hAnsi="宋体" w:cs="宋体"/>
          <w:kern w:val="0"/>
          <w:sz w:val="24"/>
        </w:rPr>
        <w:t>%</w:t>
      </w:r>
      <w:r>
        <w:rPr>
          <w:rFonts w:hint="eastAsia" w:ascii="宋体" w:hAnsi="宋体" w:cs="宋体"/>
          <w:kern w:val="0"/>
          <w:sz w:val="24"/>
        </w:rPr>
        <w:t>）、满足施工图设计</w:t>
      </w:r>
      <w:commentRangeStart w:id="1"/>
      <w:r>
        <w:rPr>
          <w:rFonts w:hint="eastAsia" w:ascii="宋体" w:hAnsi="宋体" w:cs="宋体"/>
          <w:color w:val="FF0000"/>
          <w:kern w:val="0"/>
          <w:sz w:val="24"/>
        </w:rPr>
        <w:t>深度</w:t>
      </w:r>
      <w:commentRangeEnd w:id="1"/>
      <w:r>
        <w:rPr>
          <w:rStyle w:val="63"/>
        </w:rPr>
        <w:commentReference w:id="1"/>
      </w:r>
      <w:r>
        <w:rPr>
          <w:rFonts w:hint="eastAsia" w:ascii="宋体" w:hAnsi="宋体" w:cs="宋体"/>
          <w:kern w:val="0"/>
          <w:sz w:val="24"/>
        </w:rPr>
        <w:t>要求等后续的配合服务（协助造价咨询单位编制造价成果、技术指导等协助完成其他与工程前期设计相关的工作任务）、负责编制建设用地规划许可证及工程规划许可证时所需所有专项评估报告编制（包括但不限于交通影响评价报告、水土保持方案、环境影响评价报告、建筑节能评估报告、绿色建筑设计方案等）及评审工作。</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3.成果文件的格式要求中标人在设计过程中</w:t>
      </w:r>
      <w:r>
        <w:rPr>
          <w:rFonts w:ascii="宋体" w:hAnsi="宋体" w:cs="Leelawadee UI"/>
          <w:kern w:val="0"/>
          <w:sz w:val="24"/>
        </w:rPr>
        <w:t>提</w:t>
      </w:r>
      <w:r>
        <w:rPr>
          <w:rFonts w:hint="eastAsia" w:ascii="宋体" w:hAnsi="宋体" w:cs="宋体"/>
          <w:kern w:val="0"/>
          <w:sz w:val="24"/>
        </w:rPr>
        <w:t>交的设计文件应包括文本、图件及计算机文件。</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计算机文件应包含所有成果文件，由Photoshop、PowerPoint、Word、AutoCAD、SketchUp、B</w:t>
      </w:r>
      <w:r>
        <w:rPr>
          <w:rFonts w:ascii="宋体" w:hAnsi="宋体" w:cs="宋体"/>
          <w:kern w:val="0"/>
          <w:sz w:val="24"/>
        </w:rPr>
        <w:t>IM</w:t>
      </w:r>
      <w:r>
        <w:rPr>
          <w:rFonts w:hint="eastAsia" w:ascii="宋体" w:hAnsi="宋体" w:cs="宋体"/>
          <w:kern w:val="0"/>
          <w:sz w:val="24"/>
        </w:rPr>
        <w:t>等软件制作,</w:t>
      </w:r>
      <w:r>
        <w:rPr>
          <w:rFonts w:ascii="宋体" w:hAnsi="宋体" w:cs="Leelawadee UI"/>
          <w:kern w:val="0"/>
          <w:sz w:val="24"/>
        </w:rPr>
        <w:t>提</w:t>
      </w:r>
      <w:r>
        <w:rPr>
          <w:rFonts w:hint="eastAsia" w:ascii="宋体" w:hAnsi="宋体" w:cs="宋体"/>
          <w:kern w:val="0"/>
          <w:sz w:val="24"/>
        </w:rPr>
        <w:t>供备份光盘1份。招标人有权无偿使用设计成果。（具体</w:t>
      </w:r>
      <w:r>
        <w:rPr>
          <w:rFonts w:ascii="宋体" w:hAnsi="宋体" w:cs="Leelawadee UI"/>
          <w:kern w:val="0"/>
          <w:sz w:val="24"/>
        </w:rPr>
        <w:t>提</w:t>
      </w:r>
      <w:r>
        <w:rPr>
          <w:rFonts w:hint="eastAsia" w:ascii="宋体" w:hAnsi="宋体" w:cs="宋体"/>
          <w:kern w:val="0"/>
          <w:sz w:val="24"/>
        </w:rPr>
        <w:t>交成果及数量以招标人实际要求为准）。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lang w:eastAsia="zh-CN"/>
        </w:rPr>
        <w:t>）</w:t>
      </w:r>
      <w:r>
        <w:rPr>
          <w:rFonts w:hint="eastAsia" w:ascii="宋体" w:hAnsi="宋体" w:cs="宋体"/>
          <w:kern w:val="0"/>
          <w:sz w:val="24"/>
        </w:rPr>
        <w:t>成果文件的份数要求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过程成果文件需满足上会要求，每轮不少于10套（统一规格为A3：297×420mm），电子扫</w:t>
      </w:r>
      <w:r>
        <w:rPr>
          <w:rFonts w:ascii="宋体" w:hAnsi="宋体" w:cs="Leelawadee UI"/>
          <w:kern w:val="0"/>
          <w:sz w:val="24"/>
        </w:rPr>
        <w:t>描</w:t>
      </w:r>
      <w:r>
        <w:rPr>
          <w:rFonts w:hint="eastAsia" w:ascii="宋体" w:hAnsi="宋体" w:cs="宋体"/>
          <w:kern w:val="0"/>
          <w:sz w:val="24"/>
        </w:rPr>
        <w:t>件1份。</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方案、初步设计（含概算）最终成果不少于16套（统一规格为A3：297×420mm），电子扫</w:t>
      </w:r>
      <w:r>
        <w:rPr>
          <w:rFonts w:ascii="宋体" w:hAnsi="宋体" w:cs="Leelawadee UI"/>
          <w:kern w:val="0"/>
          <w:sz w:val="24"/>
        </w:rPr>
        <w:t>描</w:t>
      </w:r>
      <w:r>
        <w:rPr>
          <w:rFonts w:hint="eastAsia" w:ascii="宋体" w:hAnsi="宋体" w:cs="宋体"/>
          <w:kern w:val="0"/>
          <w:sz w:val="24"/>
        </w:rPr>
        <w:t>件1份。</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地质勘探成果不少于10份，电子文件1份。</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包含上述要求图件内容及简明必要的文字说明的彩色汇报展示图板1套（不少于5张）。规格统一为A0，比例、内容及深度需符合上述具体要求，并应装裱在相应尺寸的轻质图板上。</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汇报展示用PPT格式文件1份、项目效果图等若干。</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交通影响评价报告、水土保持方案、环境影响评价报告、建筑节能评估报告、绿色建筑设计等前款要求各类咨询报告及评价结果满足招标人报批及存档数量要求。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如遇主管部门要求或其他因素致使增加成果数量的，中标人需无偿</w:t>
      </w:r>
      <w:r>
        <w:rPr>
          <w:rFonts w:ascii="宋体" w:hAnsi="宋体" w:cs="Leelawadee UI"/>
          <w:kern w:val="0"/>
          <w:sz w:val="24"/>
        </w:rPr>
        <w:t>提</w:t>
      </w:r>
      <w:r>
        <w:rPr>
          <w:rFonts w:hint="eastAsia" w:ascii="宋体" w:hAnsi="宋体" w:cs="宋体"/>
          <w:kern w:val="0"/>
          <w:sz w:val="24"/>
        </w:rPr>
        <w:t>供。</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其他未尽事宜按国家有关方案设计深度的规定</w:t>
      </w:r>
      <w:r>
        <w:rPr>
          <w:rFonts w:ascii="宋体" w:hAnsi="宋体" w:cs="Leelawadee UI"/>
          <w:kern w:val="0"/>
          <w:sz w:val="24"/>
        </w:rPr>
        <w:t>提</w:t>
      </w:r>
      <w:r>
        <w:rPr>
          <w:rFonts w:hint="eastAsia" w:ascii="宋体" w:hAnsi="宋体" w:cs="宋体"/>
          <w:kern w:val="0"/>
          <w:sz w:val="24"/>
        </w:rPr>
        <w:t>供。</w:t>
      </w:r>
    </w:p>
    <w:p>
      <w:pPr>
        <w:widowControl/>
        <w:spacing w:line="360" w:lineRule="auto"/>
        <w:ind w:firstLine="482" w:firstLineChars="200"/>
        <w:jc w:val="left"/>
        <w:rPr>
          <w:rFonts w:ascii="宋体" w:hAnsi="宋体" w:cs="宋体"/>
          <w:kern w:val="0"/>
          <w:sz w:val="24"/>
        </w:rPr>
      </w:pPr>
      <w:r>
        <w:rPr>
          <w:rFonts w:hint="eastAsia" w:ascii="宋体" w:hAnsi="宋体" w:cs="宋体"/>
          <w:b/>
          <w:bCs/>
          <w:kern w:val="0"/>
          <w:sz w:val="24"/>
        </w:rPr>
        <w:t>五、工程勘察工作要求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（一）本工程勘察范围</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负责对安徽城市管理职业学院新桥校区项目进行地形测绘、土方测算、初步勘察及详细勘察，对建筑地基做出岩土工程评价，并对地基类型、基础形式、地基处理、基坑支护、地基降水和不良地质作用的防治等</w:t>
      </w:r>
      <w:r>
        <w:rPr>
          <w:rFonts w:ascii="宋体" w:hAnsi="宋体" w:cs="Leelawadee UI"/>
          <w:kern w:val="0"/>
          <w:sz w:val="24"/>
        </w:rPr>
        <w:t>提</w:t>
      </w:r>
      <w:r>
        <w:rPr>
          <w:rFonts w:hint="eastAsia" w:ascii="宋体" w:hAnsi="宋体" w:cs="宋体"/>
          <w:kern w:val="0"/>
          <w:sz w:val="24"/>
        </w:rPr>
        <w:t>出建议，</w:t>
      </w:r>
      <w:r>
        <w:rPr>
          <w:rFonts w:ascii="宋体" w:hAnsi="宋体" w:cs="Leelawadee UI"/>
          <w:kern w:val="0"/>
          <w:sz w:val="24"/>
        </w:rPr>
        <w:t>提</w:t>
      </w:r>
      <w:r>
        <w:rPr>
          <w:rFonts w:hint="eastAsia" w:ascii="宋体" w:hAnsi="宋体" w:cs="宋体"/>
          <w:kern w:val="0"/>
          <w:sz w:val="24"/>
        </w:rPr>
        <w:t>交工程勘察报告等资料。勘察主要工作内容包括但不限于制订勘察纲要、测绘、勘探、取样、试验、测试、检测、分析、评估、与设计单位、施工单位的配合、后续服务等内容。土方测绘主要内容：地形测绘（10×10）、周边道路标高、土方测算等。初步勘察应符合初步设计的要求，详细勘察应符合施工图设计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根据招标人下达的服务任务书，负责本项目地形测绘、土方测算、勘察、地下障碍物及管线探测及相关技术咨询工作，包括但不限于工程范围及有关要求中所涉及的工作内容的地形测绘、土方测算、初步勘察、详细勘察（按照设计单位</w:t>
      </w:r>
      <w:r>
        <w:rPr>
          <w:rFonts w:ascii="宋体" w:hAnsi="宋体" w:cs="Leelawadee UI"/>
          <w:kern w:val="0"/>
          <w:sz w:val="24"/>
        </w:rPr>
        <w:t>提</w:t>
      </w:r>
      <w:r>
        <w:rPr>
          <w:rFonts w:hint="eastAsia" w:ascii="宋体" w:hAnsi="宋体" w:cs="宋体"/>
          <w:kern w:val="0"/>
          <w:sz w:val="24"/>
        </w:rPr>
        <w:t>出的勘察要求进行）、勘察报告等为完成本项目的勘察工作所需要完成的全部工作。</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（二）勘察要求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初步勘察应符合初步设计的要求，全面查明选定场址的工程地质条件，对场地内各建筑地段的稳定性和工程地质问题作出定量评价，并为确定建筑工程的形式、规模、主要建筑地基基础工程施工方案及对不良地质现象的防治工程</w:t>
      </w:r>
      <w:r>
        <w:rPr>
          <w:rFonts w:ascii="宋体" w:hAnsi="宋体" w:cs="Leelawadee UI"/>
          <w:kern w:val="0"/>
          <w:sz w:val="24"/>
        </w:rPr>
        <w:t>提</w:t>
      </w:r>
      <w:r>
        <w:rPr>
          <w:rFonts w:hint="eastAsia" w:ascii="宋体" w:hAnsi="宋体" w:cs="宋体"/>
          <w:kern w:val="0"/>
          <w:sz w:val="24"/>
        </w:rPr>
        <w:t>供足够的工程地质数据资料。包括但不限于：</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初步查明场址地层岩性、构造、岩土的物理力学性质、水文地质条件。</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查明场地不良地质现象的成因类型、分布范围、对场地稳定性的影响程度及其发展趋势。</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对设计地震裂度为七级及其以上的建筑物，应判定场地和地基的地震效应。</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详细勘察应符合施工图设计要求，补充初勘工作中的不足之处，使每个建筑物下的地基条件完全明确，以便为地基基础设计、地基处理与加固、不良地质现象的防治工程，</w:t>
      </w:r>
      <w:r>
        <w:rPr>
          <w:rFonts w:ascii="宋体" w:hAnsi="宋体" w:cs="Leelawadee UI"/>
          <w:kern w:val="0"/>
          <w:sz w:val="24"/>
        </w:rPr>
        <w:t>提</w:t>
      </w:r>
      <w:r>
        <w:rPr>
          <w:rFonts w:hint="eastAsia" w:ascii="宋体" w:hAnsi="宋体" w:cs="宋体"/>
          <w:kern w:val="0"/>
          <w:sz w:val="24"/>
        </w:rPr>
        <w:t>供设计数据和资料，即对具体建筑物地基或具体地质问题进行钻探，为施工图设计和施工</w:t>
      </w:r>
      <w:r>
        <w:rPr>
          <w:rFonts w:ascii="宋体" w:hAnsi="宋体" w:cs="Leelawadee UI"/>
          <w:kern w:val="0"/>
          <w:sz w:val="24"/>
        </w:rPr>
        <w:t>提</w:t>
      </w:r>
      <w:r>
        <w:rPr>
          <w:rFonts w:hint="eastAsia" w:ascii="宋体" w:hAnsi="宋体" w:cs="宋体"/>
          <w:kern w:val="0"/>
          <w:sz w:val="24"/>
        </w:rPr>
        <w:t>供工程地质资料。包括但不限于：</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查明场地内的地层结构、岩土的物理力学性质，并对地基的稳定性、压缩性及容许承载力作出评价。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查明地下水类型、埋藏条件和侵蚀性，必要时还需查明地层的渗透性、水位变化幅度及其规律。</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3.</w:t>
      </w:r>
      <w:r>
        <w:rPr>
          <w:rFonts w:ascii="宋体" w:hAnsi="宋体" w:cs="Leelawadee UI"/>
          <w:kern w:val="0"/>
          <w:sz w:val="24"/>
        </w:rPr>
        <w:t>提</w:t>
      </w:r>
      <w:r>
        <w:rPr>
          <w:rFonts w:hint="eastAsia" w:ascii="宋体" w:hAnsi="宋体" w:cs="宋体"/>
          <w:kern w:val="0"/>
          <w:sz w:val="24"/>
        </w:rPr>
        <w:t>供不良地质现象的整、防治工程所需资料和数据。</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判定和查明地基岩土和地下水在建筑物施工和使用中可能产生的变化和影响及其防治所需的资料。</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（三）勘察报告要求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1.中标人</w:t>
      </w:r>
      <w:r>
        <w:rPr>
          <w:rFonts w:ascii="宋体" w:hAnsi="宋体" w:cs="Leelawadee UI"/>
          <w:kern w:val="0"/>
          <w:sz w:val="24"/>
        </w:rPr>
        <w:t>提</w:t>
      </w:r>
      <w:r>
        <w:rPr>
          <w:rFonts w:hint="eastAsia" w:ascii="宋体" w:hAnsi="宋体" w:cs="宋体"/>
          <w:kern w:val="0"/>
          <w:sz w:val="24"/>
        </w:rPr>
        <w:t>交的地质勘察报告，勘察工作应符合“岩土工程勘察规范”等相关规定，同时须满足设计院的设计要求。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2.对建筑物范围内的地质构造、地层结构及其均匀性，以及各岩土层的物理力学性质和工程特性做出评价。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3.有无影响建筑场地稳定性的不良地质作用，场地不良地质作用的成因、分布、规模、发展趋势，有无暗浜、暗塘、墓穴等，并对其危害程度、建筑场地稳定性做出评价，</w:t>
      </w:r>
      <w:r>
        <w:rPr>
          <w:rFonts w:ascii="宋体" w:hAnsi="宋体" w:cs="Leelawadee UI"/>
          <w:kern w:val="0"/>
          <w:sz w:val="24"/>
        </w:rPr>
        <w:t>提</w:t>
      </w:r>
      <w:r>
        <w:rPr>
          <w:rFonts w:hint="eastAsia" w:ascii="宋体" w:hAnsi="宋体" w:cs="宋体"/>
          <w:kern w:val="0"/>
          <w:sz w:val="24"/>
        </w:rPr>
        <w:t>出预防措施的建议。</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4.地下水埋藏情况、类型和水位幅度和规律，以及地下水和土对建筑材料的腐蚀性，设计抗渗水位及抗浮水位，</w:t>
      </w:r>
      <w:r>
        <w:rPr>
          <w:rFonts w:ascii="宋体" w:hAnsi="宋体" w:cs="Leelawadee UI"/>
          <w:kern w:val="0"/>
          <w:sz w:val="24"/>
        </w:rPr>
        <w:t>提</w:t>
      </w:r>
      <w:r>
        <w:rPr>
          <w:rFonts w:hint="eastAsia" w:ascii="宋体" w:hAnsi="宋体" w:cs="宋体"/>
          <w:kern w:val="0"/>
          <w:sz w:val="24"/>
        </w:rPr>
        <w:t>出施工降水方法的建议和有关技术参数。</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w:t>
      </w:r>
      <w:r>
        <w:rPr>
          <w:rFonts w:ascii="宋体" w:hAnsi="宋体" w:cs="Leelawadee UI"/>
          <w:kern w:val="0"/>
          <w:sz w:val="24"/>
        </w:rPr>
        <w:t>提</w:t>
      </w:r>
      <w:r>
        <w:rPr>
          <w:rFonts w:hint="eastAsia" w:ascii="宋体" w:hAnsi="宋体" w:cs="宋体"/>
          <w:kern w:val="0"/>
          <w:sz w:val="24"/>
        </w:rPr>
        <w:t>供抗震设防烈度、分组及有关技术参数，场地土类型和场地类别，并对饱和砂土和粉土进行液化判别，对场地和地基的地震效应、场地地震安全性做出初步评价。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6.场地土的标准冻结深度。</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7.对可供采用的地基基础设计方案进行论证分析，建议适当的基础形式和基础持力层，并</w:t>
      </w:r>
      <w:r>
        <w:rPr>
          <w:rFonts w:ascii="宋体" w:hAnsi="宋体" w:cs="Leelawadee UI"/>
          <w:kern w:val="0"/>
          <w:sz w:val="24"/>
        </w:rPr>
        <w:t>提</w:t>
      </w:r>
      <w:r>
        <w:rPr>
          <w:rFonts w:hint="eastAsia" w:ascii="宋体" w:hAnsi="宋体" w:cs="宋体"/>
          <w:kern w:val="0"/>
          <w:sz w:val="24"/>
        </w:rPr>
        <w:t>出经济合理的地基和基础设计方案和建议。</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8.拟采用桩基方案时成桩的可能性分析，施工对周围环境影响分析和评价。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9.</w:t>
      </w:r>
      <w:r>
        <w:rPr>
          <w:rFonts w:ascii="宋体" w:hAnsi="宋体" w:cs="Leelawadee UI"/>
          <w:kern w:val="0"/>
          <w:sz w:val="24"/>
        </w:rPr>
        <w:t>提</w:t>
      </w:r>
      <w:r>
        <w:rPr>
          <w:rFonts w:hint="eastAsia" w:ascii="宋体" w:hAnsi="宋体" w:cs="宋体"/>
          <w:kern w:val="0"/>
          <w:sz w:val="24"/>
        </w:rPr>
        <w:t>供与设计要求相对应的地基承载力特征值及变形计算参数，预估基础沉降量，估算的期望差和总基础和桩沉降值，并对设计与施工应注意的问题</w:t>
      </w:r>
      <w:r>
        <w:rPr>
          <w:rFonts w:ascii="宋体" w:hAnsi="宋体" w:cs="Leelawadee UI"/>
          <w:kern w:val="0"/>
          <w:sz w:val="24"/>
        </w:rPr>
        <w:t>提</w:t>
      </w:r>
      <w:r>
        <w:rPr>
          <w:rFonts w:hint="eastAsia" w:ascii="宋体" w:hAnsi="宋体" w:cs="宋体"/>
          <w:kern w:val="0"/>
          <w:sz w:val="24"/>
        </w:rPr>
        <w:t>出建议。</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10.深基坑开挖的边坡稳定计算、支护设计及施工降水所需的岩土技术参数，论证其对周围已有建筑物和地下设施的影响。</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（四）勘察报告主要内容（包括但不限于以下内容）</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1.拟建场地的工程地质条件</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（1）地质条件背景资料。</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（2）地形地貌条件。</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（3）拟建场区地层土质概述。</w:t>
      </w:r>
    </w:p>
    <w:p>
      <w:pPr>
        <w:widowControl/>
        <w:spacing w:line="360" w:lineRule="auto"/>
        <w:ind w:firstLine="482" w:firstLineChars="200"/>
        <w:jc w:val="left"/>
        <w:rPr>
          <w:rFonts w:ascii="宋体" w:hAnsi="宋体" w:cs="宋体"/>
          <w:b/>
          <w:bCs/>
          <w:kern w:val="0"/>
          <w:sz w:val="24"/>
        </w:rPr>
      </w:pPr>
      <w:r>
        <w:rPr>
          <w:rFonts w:hint="eastAsia" w:ascii="宋体" w:hAnsi="宋体" w:cs="宋体"/>
          <w:b/>
          <w:bCs/>
          <w:kern w:val="0"/>
          <w:sz w:val="24"/>
        </w:rPr>
        <w:t>2.拟建场地的水文地质条件</w:t>
      </w:r>
      <w:r>
        <w:rPr>
          <w:rFonts w:ascii="宋体" w:hAnsi="宋体" w:cs="宋体"/>
          <w:b/>
          <w:bCs/>
          <w:kern w:val="0"/>
          <w:sz w:val="24"/>
        </w:rPr>
        <w:t>(</w:t>
      </w:r>
      <w:r>
        <w:rPr>
          <w:rFonts w:hint="eastAsia" w:ascii="宋体" w:hAnsi="宋体" w:cs="宋体"/>
          <w:b/>
          <w:bCs/>
          <w:kern w:val="0"/>
          <w:sz w:val="24"/>
        </w:rPr>
        <w:t>场地南侧有河道，场地中间有防洪灌溉渠</w:t>
      </w:r>
      <w:r>
        <w:rPr>
          <w:rFonts w:ascii="宋体" w:hAnsi="宋体" w:cs="宋体"/>
          <w:b/>
          <w:bCs/>
          <w:kern w:val="0"/>
          <w:sz w:val="24"/>
        </w:rPr>
        <w:t>)</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（1）地下水类型及地下水位。</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（2）历年高水位记录及设防水位分析。</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（3）关于确定建筑防渗设计水位和抗浮设计水位的基本依据和建议。</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（4）地下水和浅层土对混凝土和钢筋的腐蚀性评价。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3.场地、地基的建筑抗震设计条件</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（1）场地土类型与建筑场地类别的判定。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（2）进行场地与地基的地震效应评价。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（3）地基土层地震液化评价。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4.地基基础方案分析评价及相关建议。</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5.地下室开挖和支护方案评价与相关建议。</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6.降水对周围环境的影响。</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7.桩基工程设计与施工建议。</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8.与工程设计、施工有关的地下水控制的建议。</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9.其他合理化建议。</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10.上述方案及建议的计算图表（计算书）及方案草图。</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11.附件内容</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（1）土的物理学性质综合统计表。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（2）各类工程平面图件和地层剖面图及柱状图。</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（3）土工试验说明及试验成果。</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（4）标贯与动力触探原位测试成果图。</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（5）剪切波速测试结果。</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（6）桩基桩端持力层层顶标高等高线。</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（7）基坑支护计算参数。</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（8）钻探工作说明等。</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12.后期服务</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（1）包括但不限于抗浮计算、验槽与勘察技术咨询等服务。</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（2）参与施工中与勘察、设计有关的技术工作，及时解决设计和施工中与勘察工作有关问题。按时配合各级、各层次的竣工验收工作。</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（3）对于勘察报告、地质水文数据和图纸等招标人认为有必要的资料，投标人应组织招标人进行相应培训，使招标人能够掌握勘察报告、地质水文数据和图纸等资料的作用和含义。</w:t>
      </w:r>
    </w:p>
    <w:p>
      <w:pPr>
        <w:spacing w:line="360" w:lineRule="auto"/>
        <w:ind w:firstLine="480" w:firstLineChars="200"/>
        <w:rPr>
          <w:rFonts w:ascii="宋体" w:hAnsi="宋体" w:cs="宋体"/>
          <w:sz w:val="24"/>
        </w:rPr>
      </w:pPr>
      <w:r>
        <w:rPr>
          <w:rFonts w:hint="eastAsia" w:ascii="宋体" w:hAnsi="宋体" w:cs="宋体"/>
          <w:kern w:val="0"/>
          <w:sz w:val="24"/>
        </w:rPr>
        <w:t>（4）成果文件的份数不少于16份且</w:t>
      </w:r>
      <w:r>
        <w:rPr>
          <w:rFonts w:ascii="宋体" w:hAnsi="宋体" w:cs="Leelawadee UI"/>
          <w:kern w:val="0"/>
          <w:sz w:val="24"/>
        </w:rPr>
        <w:t>提</w:t>
      </w:r>
      <w:r>
        <w:rPr>
          <w:rFonts w:hint="eastAsia" w:ascii="宋体" w:hAnsi="宋体" w:cs="宋体"/>
          <w:kern w:val="0"/>
          <w:sz w:val="24"/>
        </w:rPr>
        <w:t>供电子版（CAD版）。</w:t>
      </w:r>
    </w:p>
    <w:p>
      <w:pPr>
        <w:spacing w:line="360" w:lineRule="auto"/>
        <w:ind w:firstLine="482" w:firstLineChars="200"/>
        <w:rPr>
          <w:rFonts w:ascii="宋体" w:hAnsi="宋体" w:cs="宋体"/>
          <w:sz w:val="24"/>
        </w:rPr>
      </w:pPr>
      <w:r>
        <w:rPr>
          <w:rFonts w:hint="eastAsia" w:ascii="宋体" w:hAnsi="宋体"/>
          <w:b/>
          <w:bCs/>
          <w:sz w:val="24"/>
        </w:rPr>
        <w:t>六、勘察设计周期要求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一</w:t>
      </w:r>
      <w:r>
        <w:rPr>
          <w:rFonts w:hint="eastAsia" w:ascii="宋体" w:hAnsi="宋体" w:cs="宋体"/>
          <w:kern w:val="0"/>
          <w:sz w:val="24"/>
          <w:lang w:eastAsia="zh-CN"/>
        </w:rPr>
        <w:t>）</w:t>
      </w:r>
      <w:r>
        <w:rPr>
          <w:rFonts w:hint="eastAsia" w:ascii="宋体" w:hAnsi="宋体" w:cs="宋体"/>
          <w:kern w:val="0"/>
          <w:sz w:val="24"/>
        </w:rPr>
        <w:t>勘察设计进度表</w:t>
      </w:r>
    </w:p>
    <w:p>
      <w:pPr>
        <w:spacing w:line="360" w:lineRule="auto"/>
        <w:ind w:firstLine="480" w:firstLineChars="200"/>
        <w:rPr>
          <w:rFonts w:ascii="宋体" w:hAnsi="宋体" w:cs="宋体"/>
          <w:kern w:val="0"/>
          <w:sz w:val="24"/>
        </w:rPr>
      </w:pPr>
      <w:r>
        <w:rPr>
          <w:rFonts w:hint="eastAsia" w:ascii="宋体" w:hAnsi="宋体" w:cs="宋体"/>
          <w:kern w:val="0"/>
          <w:sz w:val="24"/>
        </w:rPr>
        <w:t>设计人应向发包人交付的设计资料及文件进度表</w:t>
      </w:r>
    </w:p>
    <w:tbl>
      <w:tblPr>
        <w:tblStyle w:val="5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3"/>
        <w:gridCol w:w="2709"/>
        <w:gridCol w:w="1215"/>
        <w:gridCol w:w="2306"/>
        <w:gridCol w:w="2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shd w:val="clear" w:color="auto" w:fill="auto"/>
            <w:vAlign w:val="center"/>
          </w:tcPr>
          <w:p>
            <w:pPr>
              <w:jc w:val="center"/>
              <w:rPr>
                <w:rFonts w:ascii="宋体" w:hAnsi="宋体" w:cs="宋体"/>
                <w:sz w:val="24"/>
              </w:rPr>
            </w:pPr>
            <w:r>
              <w:rPr>
                <w:rFonts w:hint="eastAsia" w:ascii="宋体" w:hAnsi="宋体"/>
                <w:b/>
                <w:bCs/>
                <w:sz w:val="24"/>
              </w:rPr>
              <w:t>序号</w:t>
            </w:r>
          </w:p>
        </w:tc>
        <w:tc>
          <w:tcPr>
            <w:tcW w:w="2709" w:type="dxa"/>
            <w:shd w:val="clear" w:color="auto" w:fill="auto"/>
            <w:vAlign w:val="center"/>
          </w:tcPr>
          <w:p>
            <w:pPr>
              <w:jc w:val="center"/>
              <w:rPr>
                <w:rFonts w:ascii="宋体" w:hAnsi="宋体" w:cs="宋体"/>
                <w:sz w:val="24"/>
              </w:rPr>
            </w:pPr>
            <w:r>
              <w:rPr>
                <w:rFonts w:hint="eastAsia" w:ascii="宋体" w:hAnsi="宋体"/>
                <w:b/>
                <w:bCs/>
                <w:sz w:val="24"/>
              </w:rPr>
              <w:t>资料及文件名称</w:t>
            </w:r>
          </w:p>
        </w:tc>
        <w:tc>
          <w:tcPr>
            <w:tcW w:w="1215" w:type="dxa"/>
            <w:shd w:val="clear" w:color="auto" w:fill="auto"/>
            <w:vAlign w:val="center"/>
          </w:tcPr>
          <w:p>
            <w:pPr>
              <w:jc w:val="center"/>
              <w:rPr>
                <w:rFonts w:ascii="宋体" w:hAnsi="宋体" w:cs="宋体"/>
                <w:sz w:val="24"/>
              </w:rPr>
            </w:pPr>
            <w:r>
              <w:rPr>
                <w:rFonts w:hint="eastAsia" w:ascii="宋体" w:hAnsi="宋体"/>
                <w:b/>
                <w:bCs/>
                <w:sz w:val="24"/>
              </w:rPr>
              <w:t>份数/项</w:t>
            </w:r>
          </w:p>
        </w:tc>
        <w:tc>
          <w:tcPr>
            <w:tcW w:w="2306" w:type="dxa"/>
            <w:shd w:val="clear" w:color="auto" w:fill="auto"/>
            <w:vAlign w:val="center"/>
          </w:tcPr>
          <w:p>
            <w:pPr>
              <w:jc w:val="center"/>
              <w:rPr>
                <w:rFonts w:ascii="宋体" w:hAnsi="宋体" w:cs="宋体"/>
                <w:sz w:val="24"/>
              </w:rPr>
            </w:pPr>
            <w:r>
              <w:rPr>
                <w:rFonts w:ascii="宋体" w:hAnsi="宋体" w:cs="Leelawadee UI"/>
                <w:b/>
                <w:bCs/>
                <w:sz w:val="24"/>
              </w:rPr>
              <w:t>提</w:t>
            </w:r>
            <w:r>
              <w:rPr>
                <w:rFonts w:hint="eastAsia" w:ascii="宋体" w:hAnsi="宋体"/>
                <w:b/>
                <w:bCs/>
                <w:sz w:val="24"/>
              </w:rPr>
              <w:t>交时限</w:t>
            </w:r>
          </w:p>
        </w:tc>
        <w:tc>
          <w:tcPr>
            <w:tcW w:w="2360" w:type="dxa"/>
            <w:shd w:val="clear" w:color="auto" w:fill="auto"/>
            <w:vAlign w:val="center"/>
          </w:tcPr>
          <w:p>
            <w:pPr>
              <w:jc w:val="center"/>
              <w:rPr>
                <w:rFonts w:ascii="宋体" w:hAnsi="宋体" w:cs="宋体"/>
                <w:sz w:val="24"/>
              </w:rPr>
            </w:pPr>
            <w:r>
              <w:rPr>
                <w:rFonts w:hint="eastAsia" w:ascii="宋体" w:hAnsi="宋体"/>
                <w:b/>
                <w:bCs/>
                <w:sz w:val="24"/>
              </w:rPr>
              <w:t>有关事宜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shd w:val="clear" w:color="auto" w:fill="auto"/>
            <w:vAlign w:val="center"/>
          </w:tcPr>
          <w:p>
            <w:pPr>
              <w:jc w:val="center"/>
              <w:rPr>
                <w:rFonts w:ascii="宋体" w:hAnsi="宋体" w:cs="宋体"/>
                <w:sz w:val="24"/>
              </w:rPr>
            </w:pPr>
            <w:r>
              <w:rPr>
                <w:rFonts w:hint="eastAsia" w:ascii="宋体" w:hAnsi="宋体" w:cs="宋体"/>
                <w:sz w:val="24"/>
              </w:rPr>
              <w:t>1</w:t>
            </w:r>
          </w:p>
        </w:tc>
        <w:tc>
          <w:tcPr>
            <w:tcW w:w="2709"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修建性详细规划和建筑方案设计文件、投资估算文件</w:t>
            </w:r>
          </w:p>
        </w:tc>
        <w:tc>
          <w:tcPr>
            <w:tcW w:w="1215" w:type="dxa"/>
            <w:shd w:val="clear" w:color="auto" w:fill="auto"/>
            <w:vAlign w:val="center"/>
          </w:tcPr>
          <w:p>
            <w:pPr>
              <w:jc w:val="center"/>
              <w:rPr>
                <w:rFonts w:ascii="宋体" w:hAnsi="宋体" w:cs="宋体"/>
                <w:sz w:val="24"/>
              </w:rPr>
            </w:pPr>
          </w:p>
        </w:tc>
        <w:tc>
          <w:tcPr>
            <w:tcW w:w="2306" w:type="dxa"/>
            <w:shd w:val="clear" w:color="auto" w:fill="auto"/>
            <w:vAlign w:val="center"/>
          </w:tcPr>
          <w:p>
            <w:pPr>
              <w:widowControl/>
              <w:jc w:val="left"/>
              <w:rPr>
                <w:rFonts w:ascii="宋体" w:hAnsi="宋体" w:cs="宋体"/>
                <w:sz w:val="24"/>
              </w:rPr>
            </w:pPr>
            <w:r>
              <w:rPr>
                <w:rFonts w:hint="eastAsia" w:ascii="宋体" w:hAnsi="宋体" w:cs="宋体"/>
                <w:kern w:val="0"/>
                <w:sz w:val="24"/>
              </w:rPr>
              <w:t>在设计合同生效后20日内提交</w:t>
            </w:r>
          </w:p>
        </w:tc>
        <w:tc>
          <w:tcPr>
            <w:tcW w:w="2360"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深度达到相关的方案审批要求，符合</w:t>
            </w:r>
          </w:p>
          <w:p>
            <w:pPr>
              <w:widowControl/>
              <w:jc w:val="left"/>
              <w:rPr>
                <w:rFonts w:hint="eastAsia" w:ascii="宋体" w:hAnsi="宋体" w:cs="宋体"/>
                <w:kern w:val="0"/>
                <w:sz w:val="24"/>
              </w:rPr>
            </w:pPr>
            <w:r>
              <w:rPr>
                <w:rFonts w:hint="eastAsia" w:ascii="宋体" w:hAnsi="宋体" w:cs="宋体"/>
                <w:kern w:val="0"/>
                <w:sz w:val="24"/>
              </w:rPr>
              <w:t>国家相关规范要求，供本工程方案审批用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shd w:val="clear" w:color="auto" w:fill="auto"/>
            <w:vAlign w:val="center"/>
          </w:tcPr>
          <w:p>
            <w:pPr>
              <w:jc w:val="center"/>
              <w:rPr>
                <w:rFonts w:ascii="宋体" w:hAnsi="宋体" w:cs="宋体"/>
                <w:sz w:val="24"/>
              </w:rPr>
            </w:pPr>
            <w:r>
              <w:rPr>
                <w:rFonts w:hint="eastAsia" w:ascii="宋体" w:hAnsi="宋体" w:cs="宋体"/>
                <w:sz w:val="24"/>
              </w:rPr>
              <w:t>2</w:t>
            </w:r>
          </w:p>
        </w:tc>
        <w:tc>
          <w:tcPr>
            <w:tcW w:w="2709" w:type="dxa"/>
            <w:shd w:val="clear" w:color="auto" w:fill="auto"/>
            <w:vAlign w:val="center"/>
          </w:tcPr>
          <w:p>
            <w:pPr>
              <w:jc w:val="left"/>
              <w:rPr>
                <w:rFonts w:ascii="宋体" w:hAnsi="宋体" w:cs="宋体"/>
                <w:sz w:val="24"/>
              </w:rPr>
            </w:pPr>
            <w:r>
              <w:rPr>
                <w:rFonts w:hint="eastAsia" w:ascii="宋体" w:hAnsi="宋体"/>
                <w:sz w:val="24"/>
              </w:rPr>
              <w:t>方案调整设计文件</w:t>
            </w:r>
          </w:p>
        </w:tc>
        <w:tc>
          <w:tcPr>
            <w:tcW w:w="1215" w:type="dxa"/>
            <w:shd w:val="clear" w:color="auto" w:fill="auto"/>
            <w:vAlign w:val="center"/>
          </w:tcPr>
          <w:p>
            <w:pPr>
              <w:jc w:val="center"/>
              <w:rPr>
                <w:rFonts w:ascii="宋体" w:hAnsi="宋体" w:cs="宋体"/>
                <w:sz w:val="24"/>
              </w:rPr>
            </w:pPr>
          </w:p>
        </w:tc>
        <w:tc>
          <w:tcPr>
            <w:tcW w:w="230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在收到专家评审意见后10日内提交</w:t>
            </w:r>
          </w:p>
        </w:tc>
        <w:tc>
          <w:tcPr>
            <w:tcW w:w="2360"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1.根据专家评审意</w:t>
            </w:r>
            <w:r>
              <w:rPr>
                <w:rFonts w:hint="eastAsia" w:ascii="宋体" w:hAnsi="宋体" w:cs="宋体"/>
                <w:kern w:val="0"/>
                <w:sz w:val="24"/>
                <w:lang w:val="en-US" w:eastAsia="zh-CN"/>
              </w:rPr>
              <w:t>见</w:t>
            </w:r>
            <w:r>
              <w:rPr>
                <w:rFonts w:hint="eastAsia" w:ascii="宋体" w:hAnsi="宋体" w:cs="宋体"/>
                <w:kern w:val="0"/>
                <w:sz w:val="24"/>
              </w:rPr>
              <w:t>的要求进行方案设计</w:t>
            </w:r>
          </w:p>
          <w:p>
            <w:pPr>
              <w:widowControl/>
              <w:jc w:val="left"/>
              <w:rPr>
                <w:rFonts w:hint="eastAsia" w:ascii="宋体" w:hAnsi="宋体" w:cs="宋体"/>
                <w:kern w:val="0"/>
                <w:sz w:val="24"/>
              </w:rPr>
            </w:pPr>
            <w:r>
              <w:rPr>
                <w:rFonts w:hint="eastAsia" w:ascii="宋体" w:hAnsi="宋体" w:cs="宋体"/>
                <w:kern w:val="0"/>
                <w:sz w:val="24"/>
              </w:rPr>
              <w:t>2.提交调整方案供发包人决策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shd w:val="clear" w:color="auto" w:fill="auto"/>
            <w:vAlign w:val="center"/>
          </w:tcPr>
          <w:p>
            <w:pPr>
              <w:jc w:val="center"/>
              <w:rPr>
                <w:rFonts w:ascii="宋体" w:hAnsi="宋体" w:cs="宋体"/>
                <w:sz w:val="24"/>
              </w:rPr>
            </w:pPr>
            <w:r>
              <w:rPr>
                <w:rFonts w:hint="eastAsia" w:ascii="宋体" w:hAnsi="宋体" w:cs="宋体"/>
                <w:sz w:val="24"/>
              </w:rPr>
              <w:t>3</w:t>
            </w:r>
          </w:p>
        </w:tc>
        <w:tc>
          <w:tcPr>
            <w:tcW w:w="2709" w:type="dxa"/>
            <w:shd w:val="clear" w:color="auto" w:fill="auto"/>
            <w:vAlign w:val="center"/>
          </w:tcPr>
          <w:p>
            <w:pPr>
              <w:jc w:val="left"/>
              <w:rPr>
                <w:rFonts w:ascii="宋体" w:hAnsi="宋体" w:cs="宋体"/>
                <w:sz w:val="24"/>
              </w:rPr>
            </w:pPr>
            <w:r>
              <w:rPr>
                <w:rFonts w:hint="eastAsia" w:ascii="宋体" w:hAnsi="宋体"/>
                <w:sz w:val="24"/>
              </w:rPr>
              <w:t>初步勘察</w:t>
            </w:r>
          </w:p>
        </w:tc>
        <w:tc>
          <w:tcPr>
            <w:tcW w:w="1215" w:type="dxa"/>
            <w:shd w:val="clear" w:color="auto" w:fill="auto"/>
            <w:vAlign w:val="center"/>
          </w:tcPr>
          <w:p>
            <w:pPr>
              <w:jc w:val="center"/>
              <w:rPr>
                <w:rFonts w:ascii="宋体" w:hAnsi="宋体" w:cs="宋体"/>
                <w:sz w:val="24"/>
              </w:rPr>
            </w:pPr>
          </w:p>
        </w:tc>
        <w:tc>
          <w:tcPr>
            <w:tcW w:w="230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收到方案审批意见后10日内提交</w:t>
            </w:r>
          </w:p>
        </w:tc>
        <w:tc>
          <w:tcPr>
            <w:tcW w:w="2360" w:type="dxa"/>
            <w:shd w:val="clear" w:color="auto" w:fill="auto"/>
            <w:vAlign w:val="center"/>
          </w:tcPr>
          <w:p>
            <w:pPr>
              <w:jc w:val="left"/>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shd w:val="clear" w:color="auto" w:fill="auto"/>
            <w:vAlign w:val="center"/>
          </w:tcPr>
          <w:p>
            <w:pPr>
              <w:jc w:val="center"/>
              <w:rPr>
                <w:rFonts w:ascii="宋体" w:hAnsi="宋体" w:cs="宋体"/>
                <w:sz w:val="24"/>
              </w:rPr>
            </w:pPr>
            <w:r>
              <w:rPr>
                <w:rFonts w:hint="eastAsia" w:ascii="宋体" w:hAnsi="宋体" w:cs="宋体"/>
                <w:sz w:val="24"/>
              </w:rPr>
              <w:t>4</w:t>
            </w:r>
          </w:p>
        </w:tc>
        <w:tc>
          <w:tcPr>
            <w:tcW w:w="2709"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1.初步设计文件</w:t>
            </w:r>
          </w:p>
          <w:p>
            <w:pPr>
              <w:widowControl/>
              <w:jc w:val="left"/>
              <w:rPr>
                <w:rFonts w:ascii="宋体" w:hAnsi="宋体" w:cs="宋体"/>
                <w:kern w:val="0"/>
                <w:sz w:val="24"/>
              </w:rPr>
            </w:pPr>
            <w:r>
              <w:rPr>
                <w:rFonts w:hint="eastAsia" w:ascii="宋体" w:hAnsi="宋体" w:cs="宋体"/>
                <w:kern w:val="0"/>
                <w:sz w:val="24"/>
              </w:rPr>
              <w:t>2.设计概算编制（含初步设计概算16套）及与投资估算对比分析</w:t>
            </w:r>
          </w:p>
        </w:tc>
        <w:tc>
          <w:tcPr>
            <w:tcW w:w="1215" w:type="dxa"/>
            <w:shd w:val="clear" w:color="auto" w:fill="auto"/>
            <w:vAlign w:val="center"/>
          </w:tcPr>
          <w:p>
            <w:pPr>
              <w:jc w:val="center"/>
              <w:rPr>
                <w:rFonts w:ascii="宋体" w:hAnsi="宋体" w:cs="宋体"/>
                <w:sz w:val="24"/>
              </w:rPr>
            </w:pPr>
          </w:p>
        </w:tc>
        <w:tc>
          <w:tcPr>
            <w:tcW w:w="230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收到方案审批意见后30日内提交</w:t>
            </w:r>
          </w:p>
        </w:tc>
        <w:tc>
          <w:tcPr>
            <w:tcW w:w="2360"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根据当地有关主管部门及发包人的具体要求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shd w:val="clear" w:color="auto" w:fill="auto"/>
            <w:vAlign w:val="center"/>
          </w:tcPr>
          <w:p>
            <w:pPr>
              <w:jc w:val="center"/>
              <w:rPr>
                <w:rFonts w:ascii="宋体" w:hAnsi="宋体" w:cs="宋体"/>
                <w:sz w:val="24"/>
              </w:rPr>
            </w:pPr>
            <w:r>
              <w:rPr>
                <w:rFonts w:hint="eastAsia" w:ascii="宋体" w:hAnsi="宋体" w:cs="宋体"/>
                <w:sz w:val="24"/>
              </w:rPr>
              <w:t>5</w:t>
            </w:r>
          </w:p>
        </w:tc>
        <w:tc>
          <w:tcPr>
            <w:tcW w:w="2709" w:type="dxa"/>
            <w:shd w:val="clear" w:color="auto" w:fill="auto"/>
            <w:vAlign w:val="center"/>
          </w:tcPr>
          <w:p>
            <w:pPr>
              <w:jc w:val="left"/>
              <w:rPr>
                <w:rFonts w:ascii="宋体" w:hAnsi="宋体"/>
                <w:sz w:val="24"/>
              </w:rPr>
            </w:pPr>
            <w:r>
              <w:rPr>
                <w:rFonts w:hint="eastAsia" w:ascii="宋体" w:hAnsi="宋体"/>
                <w:sz w:val="24"/>
              </w:rPr>
              <w:t>详细勘察</w:t>
            </w:r>
          </w:p>
        </w:tc>
        <w:tc>
          <w:tcPr>
            <w:tcW w:w="1215" w:type="dxa"/>
            <w:shd w:val="clear" w:color="auto" w:fill="auto"/>
            <w:vAlign w:val="center"/>
          </w:tcPr>
          <w:p>
            <w:pPr>
              <w:jc w:val="center"/>
              <w:rPr>
                <w:rFonts w:ascii="宋体" w:hAnsi="宋体" w:cs="宋体"/>
                <w:sz w:val="24"/>
              </w:rPr>
            </w:pPr>
          </w:p>
        </w:tc>
        <w:tc>
          <w:tcPr>
            <w:tcW w:w="230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收到初步设计审批意见后20日内提交</w:t>
            </w:r>
          </w:p>
        </w:tc>
        <w:tc>
          <w:tcPr>
            <w:tcW w:w="2360" w:type="dxa"/>
            <w:shd w:val="clear" w:color="auto" w:fill="auto"/>
            <w:vAlign w:val="center"/>
          </w:tcPr>
          <w:p>
            <w:pPr>
              <w:widowControl/>
              <w:jc w:val="left"/>
              <w:rPr>
                <w:rFonts w:hint="eastAsia"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shd w:val="clear" w:color="auto" w:fill="auto"/>
            <w:vAlign w:val="center"/>
          </w:tcPr>
          <w:p>
            <w:pPr>
              <w:jc w:val="center"/>
              <w:rPr>
                <w:rFonts w:ascii="宋体" w:hAnsi="宋体" w:cs="宋体"/>
                <w:sz w:val="24"/>
              </w:rPr>
            </w:pPr>
            <w:r>
              <w:rPr>
                <w:rFonts w:hint="eastAsia" w:ascii="宋体" w:hAnsi="宋体" w:cs="宋体"/>
                <w:sz w:val="24"/>
              </w:rPr>
              <w:t>6</w:t>
            </w:r>
          </w:p>
        </w:tc>
        <w:tc>
          <w:tcPr>
            <w:tcW w:w="2709" w:type="dxa"/>
            <w:shd w:val="clear" w:color="auto" w:fill="auto"/>
            <w:vAlign w:val="center"/>
          </w:tcPr>
          <w:p>
            <w:pPr>
              <w:jc w:val="left"/>
              <w:rPr>
                <w:rFonts w:ascii="宋体" w:hAnsi="宋体"/>
                <w:sz w:val="24"/>
              </w:rPr>
            </w:pPr>
            <w:r>
              <w:rPr>
                <w:rFonts w:hint="eastAsia" w:ascii="宋体" w:hAnsi="宋体"/>
                <w:sz w:val="24"/>
              </w:rPr>
              <w:t>总体沙盘制作安装</w:t>
            </w:r>
          </w:p>
        </w:tc>
        <w:tc>
          <w:tcPr>
            <w:tcW w:w="1215" w:type="dxa"/>
            <w:shd w:val="clear" w:color="auto" w:fill="auto"/>
            <w:vAlign w:val="center"/>
          </w:tcPr>
          <w:p>
            <w:pPr>
              <w:jc w:val="center"/>
              <w:rPr>
                <w:rFonts w:ascii="宋体" w:hAnsi="宋体" w:cs="宋体"/>
                <w:sz w:val="24"/>
              </w:rPr>
            </w:pPr>
          </w:p>
        </w:tc>
        <w:tc>
          <w:tcPr>
            <w:tcW w:w="230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在初步方案批复生效后20日内提交</w:t>
            </w:r>
          </w:p>
        </w:tc>
        <w:tc>
          <w:tcPr>
            <w:tcW w:w="2360"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具体方案根据发包人的具体要求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shd w:val="clear" w:color="auto" w:fill="auto"/>
            <w:vAlign w:val="center"/>
          </w:tcPr>
          <w:p>
            <w:pPr>
              <w:jc w:val="center"/>
              <w:rPr>
                <w:rFonts w:ascii="宋体" w:hAnsi="宋体" w:cs="宋体"/>
                <w:sz w:val="24"/>
              </w:rPr>
            </w:pPr>
            <w:r>
              <w:rPr>
                <w:rFonts w:hint="eastAsia" w:ascii="宋体" w:hAnsi="宋体" w:cs="宋体"/>
                <w:sz w:val="24"/>
              </w:rPr>
              <w:t>7</w:t>
            </w:r>
          </w:p>
        </w:tc>
        <w:tc>
          <w:tcPr>
            <w:tcW w:w="2709"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招标配合（</w:t>
            </w:r>
            <w:r>
              <w:rPr>
                <w:rFonts w:hint="eastAsia" w:ascii="宋体" w:hAnsi="宋体" w:cs="Leelawadee UI"/>
                <w:kern w:val="0"/>
                <w:sz w:val="24"/>
              </w:rPr>
              <w:t>提</w:t>
            </w:r>
            <w:r>
              <w:rPr>
                <w:rFonts w:hint="eastAsia" w:ascii="宋体" w:hAnsi="宋体" w:cs="宋体"/>
                <w:kern w:val="0"/>
                <w:sz w:val="24"/>
              </w:rPr>
              <w:t>供编制各项招标文件中的技术要求和参数指标）</w:t>
            </w:r>
          </w:p>
        </w:tc>
        <w:tc>
          <w:tcPr>
            <w:tcW w:w="1215" w:type="dxa"/>
            <w:shd w:val="clear" w:color="auto" w:fill="auto"/>
            <w:vAlign w:val="center"/>
          </w:tcPr>
          <w:p>
            <w:pPr>
              <w:jc w:val="center"/>
              <w:rPr>
                <w:rFonts w:ascii="宋体" w:hAnsi="宋体" w:cs="宋体"/>
                <w:sz w:val="24"/>
              </w:rPr>
            </w:pPr>
          </w:p>
        </w:tc>
        <w:tc>
          <w:tcPr>
            <w:tcW w:w="230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满足发包人要求</w:t>
            </w:r>
          </w:p>
        </w:tc>
        <w:tc>
          <w:tcPr>
            <w:tcW w:w="2360"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根据发包人的具体要求</w:t>
            </w:r>
          </w:p>
        </w:tc>
      </w:tr>
    </w:tbl>
    <w:p>
      <w:pPr>
        <w:spacing w:line="360" w:lineRule="auto"/>
        <w:ind w:firstLine="480" w:firstLineChars="200"/>
        <w:rPr>
          <w:rFonts w:ascii="宋体" w:hAnsi="宋体" w:cs="宋体"/>
          <w:sz w:val="24"/>
        </w:rPr>
      </w:pPr>
      <w:r>
        <w:rPr>
          <w:rFonts w:hint="eastAsia" w:ascii="宋体" w:hAnsi="宋体" w:cs="宋体"/>
          <w:sz w:val="24"/>
        </w:rPr>
        <w:t>注：修建性详细规划、建筑方案设计、初步设计</w:t>
      </w:r>
      <w:r>
        <w:rPr>
          <w:rFonts w:ascii="宋体" w:hAnsi="宋体" w:cs="Leelawadee UI"/>
          <w:sz w:val="24"/>
        </w:rPr>
        <w:t>提</w:t>
      </w:r>
      <w:r>
        <w:rPr>
          <w:rFonts w:hint="eastAsia" w:ascii="宋体" w:hAnsi="宋体" w:cs="宋体"/>
          <w:sz w:val="24"/>
        </w:rPr>
        <w:t>交纸质档文件同时</w:t>
      </w:r>
      <w:r>
        <w:rPr>
          <w:rFonts w:ascii="宋体" w:hAnsi="宋体" w:cs="Leelawadee UI"/>
          <w:sz w:val="24"/>
        </w:rPr>
        <w:t>提</w:t>
      </w:r>
      <w:r>
        <w:rPr>
          <w:rFonts w:hint="eastAsia" w:ascii="宋体" w:hAnsi="宋体" w:cs="宋体"/>
          <w:sz w:val="24"/>
        </w:rPr>
        <w:t>交</w:t>
      </w:r>
      <w:r>
        <w:rPr>
          <w:rFonts w:ascii="宋体" w:hAnsi="宋体" w:cs="宋体"/>
          <w:sz w:val="24"/>
        </w:rPr>
        <w:t>CAD</w:t>
      </w:r>
      <w:r>
        <w:rPr>
          <w:rFonts w:hint="eastAsia" w:ascii="宋体" w:hAnsi="宋体" w:cs="宋体"/>
          <w:sz w:val="24"/>
        </w:rPr>
        <w:t>版图纸，且纸质档资料与</w:t>
      </w:r>
      <w:r>
        <w:rPr>
          <w:rFonts w:ascii="宋体" w:hAnsi="宋体" w:cs="宋体"/>
          <w:sz w:val="24"/>
        </w:rPr>
        <w:t>CAD</w:t>
      </w:r>
      <w:r>
        <w:rPr>
          <w:rFonts w:hint="eastAsia" w:ascii="宋体" w:hAnsi="宋体" w:cs="宋体"/>
          <w:sz w:val="24"/>
        </w:rPr>
        <w:t>版图纸保持一致。所有纸质文档须按照建设工程档案整理规范要求装订，并</w:t>
      </w:r>
      <w:r>
        <w:rPr>
          <w:rFonts w:ascii="宋体" w:hAnsi="宋体" w:cs="Leelawadee UI"/>
          <w:sz w:val="24"/>
        </w:rPr>
        <w:t>提</w:t>
      </w:r>
      <w:r>
        <w:rPr>
          <w:rFonts w:hint="eastAsia" w:ascii="宋体" w:hAnsi="宋体" w:cs="宋体"/>
          <w:sz w:val="24"/>
        </w:rPr>
        <w:t>供电子文档CD光盘。</w:t>
      </w:r>
    </w:p>
    <w:p>
      <w:pPr>
        <w:widowControl/>
        <w:spacing w:line="360" w:lineRule="auto"/>
        <w:ind w:firstLine="482" w:firstLineChars="200"/>
        <w:jc w:val="left"/>
        <w:rPr>
          <w:rFonts w:ascii="宋体" w:hAnsi="宋体" w:cs="宋体"/>
          <w:kern w:val="0"/>
          <w:sz w:val="24"/>
        </w:rPr>
      </w:pPr>
      <w:r>
        <w:rPr>
          <w:rFonts w:hint="eastAsia" w:ascii="宋体" w:hAnsi="宋体" w:cs="宋体"/>
          <w:b/>
          <w:bCs/>
          <w:kern w:val="0"/>
          <w:sz w:val="24"/>
        </w:rPr>
        <w:t>七、设计人服务要求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设计单位必须做好项目实施过程中的现场服务工作，包括但不限于以下：</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1.本项目勘察设计工作必须由中标人为主体完成。外地单位中标后应在合肥本地设立常驻工作机构，由项目联系人和相关专业负责人组成。</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2.在整个设计服务期内，中标人须无条件参加招标人组织的与本工程相关的考察、调研工作，费用自理。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3.在工程招标、开工准备阶段，中标人应按招标人要求，指派相应的勘察设计组成员及时配合，要求24小时内到场，及时协调解决招标、开工准备阶段的设计问题、技术问题，</w:t>
      </w:r>
      <w:r>
        <w:rPr>
          <w:rFonts w:ascii="宋体" w:hAnsi="宋体" w:cs="Leelawadee UI"/>
          <w:kern w:val="0"/>
          <w:sz w:val="24"/>
        </w:rPr>
        <w:t>提</w:t>
      </w:r>
      <w:r>
        <w:rPr>
          <w:rFonts w:hint="eastAsia" w:ascii="宋体" w:hAnsi="宋体" w:cs="宋体"/>
          <w:kern w:val="0"/>
          <w:sz w:val="24"/>
        </w:rPr>
        <w:t>出经济合理的解决方案，所发生的交通等费用自理。</w:t>
      </w:r>
    </w:p>
    <w:p>
      <w:pPr>
        <w:widowControl/>
        <w:spacing w:line="360" w:lineRule="auto"/>
        <w:ind w:firstLine="482" w:firstLineChars="200"/>
        <w:jc w:val="left"/>
        <w:rPr>
          <w:rFonts w:ascii="宋体" w:hAnsi="宋体" w:cs="宋体"/>
          <w:kern w:val="0"/>
          <w:sz w:val="24"/>
        </w:rPr>
      </w:pPr>
      <w:r>
        <w:rPr>
          <w:rFonts w:hint="eastAsia" w:ascii="宋体" w:hAnsi="宋体" w:cs="宋体"/>
          <w:b/>
          <w:bCs/>
          <w:kern w:val="0"/>
          <w:sz w:val="24"/>
        </w:rPr>
        <w:t>八、发包人</w:t>
      </w:r>
      <w:r>
        <w:rPr>
          <w:rFonts w:ascii="宋体" w:hAnsi="宋体" w:cs="Leelawadee UI"/>
          <w:b/>
          <w:bCs/>
          <w:kern w:val="0"/>
          <w:sz w:val="24"/>
        </w:rPr>
        <w:t>提</w:t>
      </w:r>
      <w:r>
        <w:rPr>
          <w:rFonts w:hint="eastAsia" w:ascii="宋体" w:hAnsi="宋体" w:cs="宋体"/>
          <w:b/>
          <w:bCs/>
          <w:kern w:val="0"/>
          <w:sz w:val="24"/>
        </w:rPr>
        <w:t>供的材料</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w:t>
      </w:r>
      <w:r>
        <w:rPr>
          <w:rFonts w:hint="eastAsia" w:ascii="宋体" w:hAnsi="宋体" w:cs="宋体"/>
          <w:kern w:val="0"/>
          <w:sz w:val="24"/>
        </w:rPr>
        <w:t>项目建议书批复</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w:t>
      </w:r>
      <w:r>
        <w:rPr>
          <w:rFonts w:hint="eastAsia" w:ascii="宋体" w:hAnsi="宋体" w:cs="宋体"/>
          <w:kern w:val="0"/>
          <w:sz w:val="24"/>
        </w:rPr>
        <w:t>概念性规划设计方案</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w:t>
      </w:r>
      <w:r>
        <w:rPr>
          <w:rFonts w:hint="eastAsia" w:ascii="宋体" w:hAnsi="宋体" w:cs="宋体"/>
          <w:kern w:val="0"/>
          <w:sz w:val="24"/>
        </w:rPr>
        <w:t>控制性详细规划</w:t>
      </w:r>
    </w:p>
    <w:p>
      <w:pPr>
        <w:widowControl/>
        <w:spacing w:line="360" w:lineRule="auto"/>
        <w:ind w:firstLine="482" w:firstLineChars="200"/>
        <w:jc w:val="left"/>
        <w:rPr>
          <w:rFonts w:ascii="宋体" w:hAnsi="宋体" w:cs="宋体"/>
          <w:kern w:val="0"/>
          <w:sz w:val="24"/>
        </w:rPr>
      </w:pPr>
      <w:r>
        <w:rPr>
          <w:rFonts w:hint="eastAsia" w:ascii="宋体" w:hAnsi="宋体" w:cs="宋体"/>
          <w:b/>
          <w:bCs/>
          <w:kern w:val="0"/>
          <w:sz w:val="24"/>
        </w:rPr>
        <w:t>九、其它要求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1.中标人必须是方案的原创作者，依法享有著作权（招标人所有知识产权）。若发生由于侵犯了其他人知识产权，造成的任何纠纷，一切法律责任及给招标人造成的损失均由投标设计人承担。</w:t>
      </w:r>
    </w:p>
    <w:p>
      <w:pPr>
        <w:widowControl/>
        <w:spacing w:line="360" w:lineRule="auto"/>
        <w:ind w:firstLine="480" w:firstLineChars="2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设计人对设计资料及文件出现的遗漏或错误负责修改或补充。因设计单位失误原因造成工程质量等事故，设计人除负责采取补救措施外，应免收直接受损失部分的设计费，并赔偿发包人由此造成的损失（包含但不限于拆除费用、工期延误、施工单位及监理单位窝工产生的费用等），赔偿额最高限额不超过设计费总额。</w:t>
      </w:r>
    </w:p>
    <w:p>
      <w:pPr>
        <w:widowControl/>
        <w:spacing w:line="360" w:lineRule="auto"/>
        <w:ind w:firstLine="480" w:firstLineChars="20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设计服务费包含本项目招标需求中所有工作内容及含有所投服务、保险、税费、全部设计（勘察）内容的所有评审费用、设计配合、现场服务、交付后约定期限内免费后续服务等为完成此次设计工作所须发生的一切应有费用。</w:t>
      </w:r>
    </w:p>
    <w:p>
      <w:pPr>
        <w:pStyle w:val="4"/>
        <w:keepNext w:val="0"/>
        <w:keepLines w:val="0"/>
        <w:spacing w:before="0" w:after="0" w:line="600" w:lineRule="exact"/>
        <w:jc w:val="center"/>
        <w:rPr>
          <w:rFonts w:ascii="黑体" w:hAnsi="黑体" w:eastAsia="黑体" w:cs="黑体"/>
          <w:b w:val="0"/>
        </w:rPr>
      </w:pPr>
      <w:r>
        <w:rPr>
          <w:rFonts w:ascii="黑体" w:hAnsi="黑体" w:eastAsia="黑体" w:cs="黑体"/>
          <w:b w:val="0"/>
        </w:rPr>
        <w:br w:type="page"/>
      </w:r>
    </w:p>
    <w:p>
      <w:pPr>
        <w:pStyle w:val="4"/>
        <w:keepNext w:val="0"/>
        <w:keepLines w:val="0"/>
        <w:spacing w:before="0" w:after="0" w:line="600" w:lineRule="exact"/>
        <w:jc w:val="center"/>
        <w:rPr>
          <w:rFonts w:ascii="黑体" w:hAnsi="黑体" w:eastAsia="黑体" w:cs="黑体"/>
          <w:b w:val="0"/>
        </w:rPr>
      </w:pPr>
      <w:r>
        <w:rPr>
          <w:rFonts w:hint="eastAsia" w:ascii="黑体" w:hAnsi="黑体" w:eastAsia="黑体" w:cs="黑体"/>
          <w:b w:val="0"/>
        </w:rPr>
        <w:t>附件2评标办法及评分标准</w:t>
      </w:r>
    </w:p>
    <w:tbl>
      <w:tblPr>
        <w:tblStyle w:val="50"/>
        <w:tblW w:w="497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65"/>
        <w:gridCol w:w="1597"/>
        <w:gridCol w:w="726"/>
        <w:gridCol w:w="6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86" w:type="pct"/>
            <w:gridSpan w:val="2"/>
            <w:tcBorders>
              <w:top w:val="single" w:color="auto" w:sz="4" w:space="0"/>
              <w:bottom w:val="single" w:color="auto" w:sz="4" w:space="0"/>
              <w:right w:val="single" w:color="auto" w:sz="4" w:space="0"/>
            </w:tcBorders>
            <w:vAlign w:val="center"/>
          </w:tcPr>
          <w:p>
            <w:pPr>
              <w:spacing w:line="440" w:lineRule="exact"/>
              <w:jc w:val="center"/>
              <w:rPr>
                <w:rFonts w:ascii="宋体" w:hAnsi="宋体" w:cs="宋体"/>
                <w:b/>
                <w:sz w:val="24"/>
              </w:rPr>
            </w:pPr>
            <w:r>
              <w:rPr>
                <w:rFonts w:hint="eastAsia" w:ascii="宋体" w:hAnsi="宋体" w:cs="宋体"/>
                <w:b/>
                <w:sz w:val="24"/>
              </w:rPr>
              <w:t>评审因素</w:t>
            </w:r>
          </w:p>
        </w:tc>
        <w:tc>
          <w:tcPr>
            <w:tcW w:w="3714" w:type="pct"/>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 w:val="24"/>
              </w:rPr>
            </w:pPr>
            <w:r>
              <w:rPr>
                <w:rFonts w:hint="eastAsia" w:ascii="宋体" w:hAnsi="宋体" w:cs="宋体"/>
                <w:b/>
                <w:sz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2" w:type="pct"/>
            <w:vMerge w:val="restart"/>
            <w:tcBorders>
              <w:top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技术文件评分标准</w:t>
            </w:r>
          </w:p>
        </w:tc>
        <w:tc>
          <w:tcPr>
            <w:tcW w:w="83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设计成果完整性、合规性</w:t>
            </w:r>
          </w:p>
        </w:tc>
        <w:tc>
          <w:tcPr>
            <w:tcW w:w="379"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ascii="宋体" w:hAnsi="宋体" w:cs="宋体"/>
                <w:kern w:val="0"/>
                <w:sz w:val="24"/>
              </w:rPr>
              <w:t>15</w:t>
            </w:r>
            <w:r>
              <w:rPr>
                <w:rFonts w:hint="eastAsia" w:ascii="宋体" w:hAnsi="宋体" w:cs="宋体"/>
                <w:kern w:val="0"/>
                <w:sz w:val="24"/>
              </w:rPr>
              <w:t>分</w:t>
            </w:r>
          </w:p>
        </w:tc>
        <w:tc>
          <w:tcPr>
            <w:tcW w:w="3335"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1．设计文件：设计文件是否完整、设计是否合理、满足要求，设计原则和各专业说明是否符合国家及地方相关规范和标准，结构、设备等专业设计与建筑是否匹配。设计文件内容全面并符合实际情况，总体设计文件思路清晰，理解全面、技术经济合理，可实施性强，且符合项目用地条件和周边环境。</w:t>
            </w:r>
            <w:r>
              <w:rPr>
                <w:rFonts w:hint="eastAsia" w:ascii="宋体" w:hAnsi="宋体" w:cs="宋体"/>
                <w:sz w:val="24"/>
              </w:rPr>
              <w:br w:type="textWrapping"/>
            </w:r>
            <w:r>
              <w:rPr>
                <w:rFonts w:hint="eastAsia" w:ascii="宋体" w:hAnsi="宋体" w:cs="宋体"/>
                <w:b/>
                <w:bCs/>
                <w:sz w:val="24"/>
              </w:rPr>
              <w:t>优秀：</w:t>
            </w:r>
            <w:r>
              <w:rPr>
                <w:rFonts w:ascii="宋体" w:hAnsi="宋体" w:cs="宋体"/>
                <w:b/>
                <w:bCs/>
                <w:sz w:val="24"/>
              </w:rPr>
              <w:t>5</w:t>
            </w:r>
            <w:r>
              <w:rPr>
                <w:rFonts w:hint="eastAsia" w:ascii="宋体" w:hAnsi="宋体" w:cs="宋体"/>
                <w:b/>
                <w:bCs/>
                <w:sz w:val="24"/>
              </w:rPr>
              <w:t>分&lt;F≤</w:t>
            </w:r>
            <w:r>
              <w:rPr>
                <w:rFonts w:ascii="宋体" w:hAnsi="宋体" w:cs="宋体"/>
                <w:b/>
                <w:bCs/>
                <w:sz w:val="24"/>
              </w:rPr>
              <w:t>6</w:t>
            </w:r>
            <w:r>
              <w:rPr>
                <w:rFonts w:hint="eastAsia" w:ascii="宋体" w:hAnsi="宋体" w:cs="宋体"/>
                <w:b/>
                <w:bCs/>
                <w:sz w:val="24"/>
              </w:rPr>
              <w:t>分、良好：</w:t>
            </w:r>
            <w:r>
              <w:rPr>
                <w:rFonts w:ascii="宋体" w:hAnsi="宋体" w:cs="宋体"/>
                <w:b/>
                <w:bCs/>
                <w:sz w:val="24"/>
              </w:rPr>
              <w:t>3</w:t>
            </w:r>
            <w:r>
              <w:rPr>
                <w:rFonts w:hint="eastAsia" w:ascii="宋体" w:hAnsi="宋体" w:cs="宋体"/>
                <w:b/>
                <w:bCs/>
                <w:sz w:val="24"/>
              </w:rPr>
              <w:t>分&lt;F≤</w:t>
            </w:r>
            <w:r>
              <w:rPr>
                <w:rFonts w:ascii="宋体" w:hAnsi="宋体" w:cs="宋体"/>
                <w:b/>
                <w:bCs/>
                <w:sz w:val="24"/>
              </w:rPr>
              <w:t>5</w:t>
            </w:r>
            <w:r>
              <w:rPr>
                <w:rFonts w:hint="eastAsia" w:ascii="宋体" w:hAnsi="宋体" w:cs="宋体"/>
                <w:b/>
                <w:bCs/>
                <w:sz w:val="24"/>
              </w:rPr>
              <w:t>分、一般：</w:t>
            </w:r>
            <w:r>
              <w:rPr>
                <w:rFonts w:ascii="宋体" w:hAnsi="宋体" w:cs="宋体"/>
                <w:b/>
                <w:bCs/>
                <w:sz w:val="24"/>
              </w:rPr>
              <w:t>1</w:t>
            </w:r>
            <w:r>
              <w:rPr>
                <w:rFonts w:hint="eastAsia" w:ascii="宋体" w:hAnsi="宋体" w:cs="宋体"/>
                <w:b/>
                <w:bCs/>
                <w:sz w:val="24"/>
              </w:rPr>
              <w:t>分≤F≤</w:t>
            </w:r>
            <w:r>
              <w:rPr>
                <w:rFonts w:ascii="宋体" w:hAnsi="宋体" w:cs="宋体"/>
                <w:b/>
                <w:bCs/>
                <w:sz w:val="24"/>
              </w:rPr>
              <w:t>3</w:t>
            </w:r>
            <w:r>
              <w:rPr>
                <w:rFonts w:hint="eastAsia" w:ascii="宋体" w:hAnsi="宋体" w:cs="宋体"/>
                <w:b/>
                <w:bCs/>
                <w:sz w:val="24"/>
              </w:rPr>
              <w:t>分，没有不得分。</w:t>
            </w:r>
            <w:r>
              <w:rPr>
                <w:rFonts w:hint="eastAsia" w:ascii="宋体" w:hAnsi="宋体" w:cs="宋体"/>
                <w:sz w:val="24"/>
              </w:rPr>
              <w:br w:type="textWrapping"/>
            </w:r>
            <w:r>
              <w:rPr>
                <w:rFonts w:hint="eastAsia" w:ascii="宋体" w:hAnsi="宋体" w:cs="宋体"/>
                <w:sz w:val="24"/>
              </w:rPr>
              <w:t>2.技术图纸：提供不少于3个主要单体建筑图纸（图书馆、综合教学楼、实验实训楼）。内容包括但不限于：各层平面图、立面图、剖面图、结构布置图、给排水、暖通、供电及弱电各系统以及水、电的用量指标及规划管网综合图。</w:t>
            </w:r>
            <w:r>
              <w:rPr>
                <w:rFonts w:hint="eastAsia" w:ascii="宋体" w:hAnsi="宋体" w:cs="宋体"/>
                <w:sz w:val="24"/>
              </w:rPr>
              <w:br w:type="textWrapping"/>
            </w:r>
            <w:r>
              <w:rPr>
                <w:rFonts w:hint="eastAsia" w:ascii="宋体" w:hAnsi="宋体" w:cs="宋体"/>
                <w:b/>
                <w:bCs/>
                <w:sz w:val="24"/>
              </w:rPr>
              <w:t>优秀：5分&lt;F≤6分、良好：3分&lt;F≤5分、一般：1分≤F≤</w:t>
            </w:r>
            <w:r>
              <w:rPr>
                <w:rFonts w:ascii="宋体" w:hAnsi="宋体" w:cs="宋体"/>
                <w:b/>
                <w:bCs/>
                <w:sz w:val="24"/>
              </w:rPr>
              <w:t>3</w:t>
            </w:r>
            <w:r>
              <w:rPr>
                <w:rFonts w:hint="eastAsia" w:ascii="宋体" w:hAnsi="宋体" w:cs="宋体"/>
                <w:b/>
                <w:bCs/>
                <w:sz w:val="24"/>
              </w:rPr>
              <w:t>分，没有不得分。</w:t>
            </w:r>
          </w:p>
          <w:p>
            <w:pPr>
              <w:spacing w:line="440" w:lineRule="exact"/>
              <w:rPr>
                <w:rFonts w:ascii="宋体" w:hAnsi="宋体" w:cs="宋体"/>
                <w:sz w:val="24"/>
              </w:rPr>
            </w:pPr>
            <w:r>
              <w:rPr>
                <w:rFonts w:hint="eastAsia" w:ascii="宋体" w:hAnsi="宋体" w:cs="宋体"/>
                <w:sz w:val="24"/>
              </w:rPr>
              <w:t>3.建筑专业说明：现状条件分析、规划原则和总体构思、用地布局、空间组织和景观特色、道路和绿地系统规划、竖向设计、各单体设计说明、总体及分期经济技术指标、各专业工程规划（结构、设备、消防、人防、节能、环保、管线综合等）、投资估算及分期估算。</w:t>
            </w:r>
            <w:r>
              <w:rPr>
                <w:rFonts w:hint="eastAsia" w:ascii="宋体" w:hAnsi="宋体" w:cs="宋体"/>
                <w:sz w:val="24"/>
              </w:rPr>
              <w:br w:type="textWrapping"/>
            </w:r>
            <w:r>
              <w:rPr>
                <w:rFonts w:hint="eastAsia" w:ascii="宋体" w:hAnsi="宋体" w:cs="宋体"/>
                <w:b/>
                <w:bCs/>
                <w:sz w:val="24"/>
              </w:rPr>
              <w:t>优秀：3分、良好：2分、一般：</w:t>
            </w:r>
            <w:r>
              <w:rPr>
                <w:rFonts w:ascii="宋体" w:hAnsi="宋体" w:cs="宋体"/>
                <w:b/>
                <w:bCs/>
                <w:sz w:val="24"/>
              </w:rPr>
              <w:t>1</w:t>
            </w:r>
            <w:r>
              <w:rPr>
                <w:rFonts w:hint="eastAsia" w:ascii="宋体" w:hAnsi="宋体" w:cs="宋体"/>
                <w:b/>
                <w:bCs/>
                <w:sz w:val="24"/>
              </w:rPr>
              <w:t>分，没有不得分。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2" w:type="pct"/>
            <w:vMerge w:val="continue"/>
            <w:tcBorders>
              <w:top w:val="single" w:color="auto" w:sz="4" w:space="0"/>
              <w:right w:val="single" w:color="auto" w:sz="4" w:space="0"/>
            </w:tcBorders>
            <w:vAlign w:val="center"/>
          </w:tcPr>
          <w:p>
            <w:pPr>
              <w:spacing w:line="440" w:lineRule="exact"/>
              <w:jc w:val="center"/>
              <w:rPr>
                <w:rFonts w:ascii="宋体" w:hAnsi="宋体" w:cs="宋体"/>
                <w:sz w:val="24"/>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B</w:t>
            </w:r>
            <w:r>
              <w:rPr>
                <w:rFonts w:ascii="宋体" w:hAnsi="宋体" w:cs="宋体"/>
                <w:sz w:val="24"/>
              </w:rPr>
              <w:t>IM</w:t>
            </w:r>
            <w:r>
              <w:rPr>
                <w:rFonts w:hint="eastAsia" w:ascii="宋体" w:hAnsi="宋体" w:cs="宋体"/>
                <w:sz w:val="24"/>
              </w:rPr>
              <w:t>规划设计方案</w:t>
            </w:r>
          </w:p>
        </w:tc>
        <w:tc>
          <w:tcPr>
            <w:tcW w:w="3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sz w:val="24"/>
              </w:rPr>
            </w:pPr>
            <w:r>
              <w:rPr>
                <w:rFonts w:hint="eastAsia" w:ascii="宋体" w:hAnsi="宋体" w:cs="宋体"/>
                <w:kern w:val="0"/>
                <w:sz w:val="24"/>
              </w:rPr>
              <w:t>3分</w:t>
            </w:r>
          </w:p>
        </w:tc>
        <w:tc>
          <w:tcPr>
            <w:tcW w:w="3335"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B</w:t>
            </w:r>
            <w:r>
              <w:rPr>
                <w:rFonts w:ascii="宋体" w:hAnsi="宋体" w:cs="宋体"/>
                <w:sz w:val="24"/>
              </w:rPr>
              <w:t>IM</w:t>
            </w:r>
            <w:r>
              <w:rPr>
                <w:rFonts w:hint="eastAsia" w:ascii="宋体" w:hAnsi="宋体" w:cs="宋体"/>
                <w:sz w:val="24"/>
              </w:rPr>
              <w:t>规划设计方案具体详细，可行性强、能有效控制工程投资、保证工程质量者得</w:t>
            </w:r>
            <w:r>
              <w:rPr>
                <w:rFonts w:ascii="宋体" w:hAnsi="宋体" w:cs="宋体"/>
                <w:sz w:val="24"/>
              </w:rPr>
              <w:t>1</w:t>
            </w:r>
            <w:r>
              <w:rPr>
                <w:rFonts w:hint="eastAsia" w:ascii="宋体" w:hAnsi="宋体" w:cs="宋体"/>
                <w:sz w:val="24"/>
              </w:rPr>
              <w:t>分≤F≤</w:t>
            </w:r>
            <w:r>
              <w:rPr>
                <w:rFonts w:ascii="宋体" w:hAnsi="宋体" w:cs="宋体"/>
                <w:sz w:val="24"/>
              </w:rPr>
              <w:t>3</w:t>
            </w:r>
            <w:r>
              <w:rPr>
                <w:rFonts w:hint="eastAsia" w:ascii="宋体" w:hAnsi="宋体" w:cs="宋体"/>
                <w:sz w:val="24"/>
              </w:rPr>
              <w:t>分，没有不得分。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2" w:type="pct"/>
            <w:vMerge w:val="continue"/>
            <w:tcBorders>
              <w:right w:val="single" w:color="auto" w:sz="4" w:space="0"/>
            </w:tcBorders>
            <w:vAlign w:val="center"/>
          </w:tcPr>
          <w:p>
            <w:pPr>
              <w:spacing w:line="440" w:lineRule="exact"/>
              <w:jc w:val="center"/>
              <w:rPr>
                <w:rFonts w:ascii="宋体" w:hAnsi="宋体" w:cs="宋体"/>
                <w:sz w:val="24"/>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工作要点分析及关键性技术问题的对策措施</w:t>
            </w:r>
          </w:p>
        </w:tc>
        <w:tc>
          <w:tcPr>
            <w:tcW w:w="3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kern w:val="0"/>
                <w:sz w:val="24"/>
              </w:rPr>
              <w:t>10</w:t>
            </w:r>
            <w:r>
              <w:rPr>
                <w:rFonts w:hint="eastAsia" w:ascii="宋体" w:hAnsi="宋体" w:cs="宋体"/>
                <w:kern w:val="0"/>
                <w:sz w:val="24"/>
              </w:rPr>
              <w:t>分</w:t>
            </w:r>
          </w:p>
        </w:tc>
        <w:tc>
          <w:tcPr>
            <w:tcW w:w="3335"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对工程要点进行分析，对国家及地方强制性技术标准的执行进行说明，对项目的特点、难点、重点进行技术经济分析和提出处理措施，阐述关键技术问题的对策措施。</w:t>
            </w:r>
            <w:r>
              <w:rPr>
                <w:rFonts w:hint="eastAsia" w:ascii="宋体" w:hAnsi="宋体" w:cs="宋体"/>
                <w:sz w:val="24"/>
              </w:rPr>
              <w:br w:type="textWrapping"/>
            </w:r>
            <w:r>
              <w:rPr>
                <w:rFonts w:hint="eastAsia" w:ascii="宋体" w:hAnsi="宋体" w:cs="宋体"/>
                <w:b/>
                <w:bCs/>
                <w:sz w:val="24"/>
              </w:rPr>
              <w:t>优秀：</w:t>
            </w:r>
            <w:r>
              <w:rPr>
                <w:rFonts w:ascii="宋体" w:hAnsi="宋体" w:cs="宋体"/>
                <w:b/>
                <w:bCs/>
                <w:sz w:val="24"/>
              </w:rPr>
              <w:t>7</w:t>
            </w:r>
            <w:r>
              <w:rPr>
                <w:rFonts w:hint="eastAsia" w:ascii="宋体" w:hAnsi="宋体" w:cs="宋体"/>
                <w:b/>
                <w:bCs/>
                <w:sz w:val="24"/>
              </w:rPr>
              <w:t>分&lt;F≤</w:t>
            </w:r>
            <w:r>
              <w:rPr>
                <w:rFonts w:ascii="宋体" w:hAnsi="宋体" w:cs="宋体"/>
                <w:b/>
                <w:bCs/>
                <w:sz w:val="24"/>
              </w:rPr>
              <w:t>10</w:t>
            </w:r>
            <w:r>
              <w:rPr>
                <w:rFonts w:hint="eastAsia" w:ascii="宋体" w:hAnsi="宋体" w:cs="宋体"/>
                <w:b/>
                <w:bCs/>
                <w:sz w:val="24"/>
              </w:rPr>
              <w:t>分、良好：</w:t>
            </w:r>
            <w:r>
              <w:rPr>
                <w:rFonts w:ascii="宋体" w:hAnsi="宋体" w:cs="宋体"/>
                <w:b/>
                <w:bCs/>
                <w:sz w:val="24"/>
              </w:rPr>
              <w:t>3</w:t>
            </w:r>
            <w:r>
              <w:rPr>
                <w:rFonts w:hint="eastAsia" w:ascii="宋体" w:hAnsi="宋体" w:cs="宋体"/>
                <w:b/>
                <w:bCs/>
                <w:sz w:val="24"/>
              </w:rPr>
              <w:t>分&lt;F≤</w:t>
            </w:r>
            <w:r>
              <w:rPr>
                <w:rFonts w:ascii="宋体" w:hAnsi="宋体" w:cs="宋体"/>
                <w:b/>
                <w:bCs/>
                <w:sz w:val="24"/>
              </w:rPr>
              <w:t>7</w:t>
            </w:r>
            <w:r>
              <w:rPr>
                <w:rFonts w:hint="eastAsia" w:ascii="宋体" w:hAnsi="宋体" w:cs="宋体"/>
                <w:b/>
                <w:bCs/>
                <w:sz w:val="24"/>
              </w:rPr>
              <w:t>分、一般：1分≤F≤</w:t>
            </w:r>
            <w:r>
              <w:rPr>
                <w:rFonts w:ascii="宋体" w:hAnsi="宋体" w:cs="宋体"/>
                <w:b/>
                <w:bCs/>
                <w:sz w:val="24"/>
              </w:rPr>
              <w:t>3</w:t>
            </w:r>
            <w:r>
              <w:rPr>
                <w:rFonts w:hint="eastAsia" w:ascii="宋体" w:hAnsi="宋体" w:cs="宋体"/>
                <w:b/>
                <w:bCs/>
                <w:sz w:val="24"/>
              </w:rPr>
              <w:t>分，没有不得分。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2" w:type="pct"/>
            <w:vMerge w:val="continue"/>
            <w:tcBorders>
              <w:right w:val="single" w:color="auto" w:sz="4" w:space="0"/>
            </w:tcBorders>
            <w:vAlign w:val="center"/>
          </w:tcPr>
          <w:p>
            <w:pPr>
              <w:spacing w:line="440" w:lineRule="exact"/>
              <w:jc w:val="center"/>
              <w:rPr>
                <w:rFonts w:ascii="宋体" w:hAnsi="宋体" w:cs="宋体"/>
                <w:sz w:val="24"/>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本地化服务方案</w:t>
            </w:r>
          </w:p>
        </w:tc>
        <w:tc>
          <w:tcPr>
            <w:tcW w:w="3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0</w:t>
            </w:r>
            <w:r>
              <w:rPr>
                <w:rFonts w:hint="eastAsia" w:ascii="宋体" w:hAnsi="宋体" w:cs="宋体"/>
                <w:kern w:val="0"/>
                <w:sz w:val="24"/>
              </w:rPr>
              <w:t>分</w:t>
            </w:r>
          </w:p>
        </w:tc>
        <w:tc>
          <w:tcPr>
            <w:tcW w:w="333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投标人根据自身情况为本项目所能提供及时响应的本地化服务方案进行评审。</w:t>
            </w:r>
          </w:p>
          <w:p>
            <w:pPr>
              <w:widowControl/>
              <w:spacing w:line="360" w:lineRule="auto"/>
              <w:jc w:val="left"/>
              <w:rPr>
                <w:rFonts w:ascii="宋体" w:hAnsi="宋体" w:cs="宋体"/>
                <w:b/>
                <w:bCs/>
                <w:kern w:val="0"/>
                <w:sz w:val="24"/>
              </w:rPr>
            </w:pPr>
            <w:r>
              <w:rPr>
                <w:rFonts w:hint="eastAsia" w:ascii="宋体" w:hAnsi="宋体" w:cs="宋体"/>
                <w:b/>
                <w:bCs/>
                <w:sz w:val="24"/>
              </w:rPr>
              <w:t>优秀：</w:t>
            </w:r>
            <w:r>
              <w:rPr>
                <w:rFonts w:ascii="宋体" w:hAnsi="宋体" w:cs="宋体"/>
                <w:b/>
                <w:bCs/>
                <w:sz w:val="24"/>
              </w:rPr>
              <w:t>7</w:t>
            </w:r>
            <w:r>
              <w:rPr>
                <w:rFonts w:hint="eastAsia" w:ascii="宋体" w:hAnsi="宋体" w:cs="宋体"/>
                <w:b/>
                <w:bCs/>
                <w:sz w:val="24"/>
              </w:rPr>
              <w:t>分&lt;F≤</w:t>
            </w:r>
            <w:r>
              <w:rPr>
                <w:rFonts w:ascii="宋体" w:hAnsi="宋体" w:cs="宋体"/>
                <w:b/>
                <w:bCs/>
                <w:sz w:val="24"/>
              </w:rPr>
              <w:t>10</w:t>
            </w:r>
            <w:r>
              <w:rPr>
                <w:rFonts w:hint="eastAsia" w:ascii="宋体" w:hAnsi="宋体" w:cs="宋体"/>
                <w:b/>
                <w:bCs/>
                <w:sz w:val="24"/>
              </w:rPr>
              <w:t>分、良好：</w:t>
            </w:r>
            <w:r>
              <w:rPr>
                <w:rFonts w:ascii="宋体" w:hAnsi="宋体" w:cs="宋体"/>
                <w:b/>
                <w:bCs/>
                <w:sz w:val="24"/>
              </w:rPr>
              <w:t>3</w:t>
            </w:r>
            <w:r>
              <w:rPr>
                <w:rFonts w:hint="eastAsia" w:ascii="宋体" w:hAnsi="宋体" w:cs="宋体"/>
                <w:b/>
                <w:bCs/>
                <w:sz w:val="24"/>
              </w:rPr>
              <w:t>分&lt;F≤</w:t>
            </w:r>
            <w:r>
              <w:rPr>
                <w:rFonts w:ascii="宋体" w:hAnsi="宋体" w:cs="宋体"/>
                <w:b/>
                <w:bCs/>
                <w:sz w:val="24"/>
              </w:rPr>
              <w:t>7</w:t>
            </w:r>
            <w:r>
              <w:rPr>
                <w:rFonts w:hint="eastAsia" w:ascii="宋体" w:hAnsi="宋体" w:cs="宋体"/>
                <w:b/>
                <w:bCs/>
                <w:sz w:val="24"/>
              </w:rPr>
              <w:t>分、一般：1分≤F≤</w:t>
            </w:r>
            <w:r>
              <w:rPr>
                <w:rFonts w:ascii="宋体" w:hAnsi="宋体" w:cs="宋体"/>
                <w:b/>
                <w:bCs/>
                <w:sz w:val="24"/>
              </w:rPr>
              <w:t>3</w:t>
            </w:r>
            <w:r>
              <w:rPr>
                <w:rFonts w:hint="eastAsia" w:ascii="宋体" w:hAnsi="宋体" w:cs="宋体"/>
                <w:b/>
                <w:bCs/>
                <w:sz w:val="24"/>
              </w:rPr>
              <w:t>分，没有不得分。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52" w:type="pct"/>
            <w:vMerge w:val="continue"/>
            <w:tcBorders>
              <w:right w:val="single" w:color="auto" w:sz="4" w:space="0"/>
            </w:tcBorders>
            <w:vAlign w:val="center"/>
          </w:tcPr>
          <w:p>
            <w:pPr>
              <w:spacing w:line="440" w:lineRule="exact"/>
              <w:jc w:val="center"/>
              <w:rPr>
                <w:rFonts w:ascii="宋体" w:hAnsi="宋体" w:cs="宋体"/>
                <w:sz w:val="24"/>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工程投资控制及保证措施</w:t>
            </w:r>
          </w:p>
        </w:tc>
        <w:tc>
          <w:tcPr>
            <w:tcW w:w="3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kern w:val="0"/>
                <w:sz w:val="24"/>
              </w:rPr>
              <w:t>5</w:t>
            </w:r>
            <w:r>
              <w:rPr>
                <w:rFonts w:hint="eastAsia" w:ascii="宋体" w:hAnsi="宋体" w:cs="宋体"/>
                <w:kern w:val="0"/>
                <w:sz w:val="24"/>
              </w:rPr>
              <w:t>分</w:t>
            </w:r>
          </w:p>
        </w:tc>
        <w:tc>
          <w:tcPr>
            <w:tcW w:w="333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1.有投资目标承诺，且处罚措施严厉者得</w:t>
            </w:r>
            <w:r>
              <w:rPr>
                <w:rFonts w:ascii="宋体" w:hAnsi="宋体" w:cs="宋体"/>
                <w:sz w:val="24"/>
              </w:rPr>
              <w:t>2</w:t>
            </w:r>
            <w:r>
              <w:rPr>
                <w:rFonts w:hint="eastAsia" w:ascii="宋体" w:hAnsi="宋体" w:cs="宋体"/>
                <w:sz w:val="24"/>
              </w:rPr>
              <w:t>分，有投资目标承诺，处罚措施一般者得</w:t>
            </w:r>
            <w:r>
              <w:rPr>
                <w:rFonts w:ascii="宋体" w:hAnsi="宋体" w:cs="宋体"/>
                <w:sz w:val="24"/>
              </w:rPr>
              <w:t>1</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rPr>
              <w:t>没有不得分。</w:t>
            </w:r>
          </w:p>
          <w:p>
            <w:pPr>
              <w:spacing w:line="360" w:lineRule="auto"/>
              <w:rPr>
                <w:rFonts w:ascii="宋体" w:hAnsi="宋体" w:cs="宋体"/>
                <w:sz w:val="24"/>
              </w:rPr>
            </w:pPr>
            <w:r>
              <w:rPr>
                <w:rFonts w:hint="eastAsia" w:ascii="宋体" w:hAnsi="宋体" w:cs="宋体"/>
                <w:sz w:val="24"/>
              </w:rPr>
              <w:t>2.工程投资控制及费用控制措施具体详细，可行性强、能有效控制工程投资、保证工程质量优秀者得</w:t>
            </w:r>
            <w:r>
              <w:rPr>
                <w:rFonts w:ascii="宋体" w:hAnsi="宋体" w:cs="宋体"/>
                <w:sz w:val="24"/>
              </w:rPr>
              <w:t>3</w:t>
            </w:r>
            <w:r>
              <w:rPr>
                <w:rFonts w:hint="eastAsia" w:ascii="宋体" w:hAnsi="宋体" w:cs="宋体"/>
                <w:sz w:val="24"/>
              </w:rPr>
              <w:t>分，较好者得</w:t>
            </w:r>
            <w:r>
              <w:rPr>
                <w:rFonts w:ascii="宋体" w:hAnsi="宋体" w:cs="宋体"/>
                <w:sz w:val="24"/>
              </w:rPr>
              <w:t>2</w:t>
            </w:r>
            <w:r>
              <w:rPr>
                <w:rFonts w:hint="eastAsia" w:ascii="宋体" w:hAnsi="宋体" w:cs="宋体"/>
                <w:sz w:val="24"/>
              </w:rPr>
              <w:t>分，一般者得</w:t>
            </w:r>
            <w:r>
              <w:rPr>
                <w:rFonts w:ascii="宋体" w:hAnsi="宋体" w:cs="宋体"/>
                <w:sz w:val="24"/>
              </w:rPr>
              <w:t>1</w:t>
            </w:r>
            <w:r>
              <w:rPr>
                <w:rFonts w:hint="eastAsia" w:ascii="宋体" w:hAnsi="宋体" w:cs="宋体"/>
                <w:sz w:val="24"/>
              </w:rPr>
              <w:t>分，没有不得分。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52" w:type="pct"/>
            <w:vMerge w:val="continue"/>
            <w:tcBorders>
              <w:right w:val="single" w:color="auto" w:sz="4" w:space="0"/>
            </w:tcBorders>
            <w:vAlign w:val="center"/>
          </w:tcPr>
          <w:p>
            <w:pPr>
              <w:spacing w:line="440" w:lineRule="exact"/>
              <w:jc w:val="center"/>
              <w:rPr>
                <w:rFonts w:ascii="宋体" w:hAnsi="宋体" w:cs="宋体"/>
                <w:sz w:val="24"/>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设计质量及保证措施</w:t>
            </w:r>
          </w:p>
        </w:tc>
        <w:tc>
          <w:tcPr>
            <w:tcW w:w="3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kern w:val="0"/>
                <w:sz w:val="24"/>
              </w:rPr>
              <w:t>5</w:t>
            </w:r>
            <w:r>
              <w:rPr>
                <w:rFonts w:hint="eastAsia" w:ascii="宋体" w:hAnsi="宋体" w:cs="宋体"/>
                <w:kern w:val="0"/>
                <w:sz w:val="24"/>
              </w:rPr>
              <w:t>分</w:t>
            </w:r>
          </w:p>
        </w:tc>
        <w:tc>
          <w:tcPr>
            <w:tcW w:w="333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1.有质量目标承诺，且处罚措施严厉者得</w:t>
            </w:r>
            <w:r>
              <w:rPr>
                <w:rFonts w:ascii="宋体" w:hAnsi="宋体" w:cs="宋体"/>
                <w:sz w:val="24"/>
              </w:rPr>
              <w:t>2</w:t>
            </w:r>
            <w:r>
              <w:rPr>
                <w:rFonts w:hint="eastAsia" w:ascii="宋体" w:hAnsi="宋体" w:cs="宋体"/>
                <w:sz w:val="24"/>
              </w:rPr>
              <w:t>分，有质量目标承诺，处罚措施一般者得1分。没有不得分。</w:t>
            </w:r>
          </w:p>
          <w:p>
            <w:pPr>
              <w:spacing w:line="360" w:lineRule="auto"/>
              <w:rPr>
                <w:rFonts w:ascii="宋体" w:hAnsi="宋体" w:cs="宋体"/>
                <w:sz w:val="24"/>
              </w:rPr>
            </w:pPr>
            <w:r>
              <w:rPr>
                <w:rFonts w:hint="eastAsia" w:ascii="宋体" w:hAnsi="宋体" w:cs="宋体"/>
                <w:sz w:val="24"/>
              </w:rPr>
              <w:t>2.质量的保证措施具体详细，可行性强者得</w:t>
            </w:r>
            <w:r>
              <w:rPr>
                <w:rFonts w:ascii="宋体" w:hAnsi="宋体" w:cs="宋体"/>
                <w:sz w:val="24"/>
              </w:rPr>
              <w:t>3</w:t>
            </w:r>
            <w:r>
              <w:rPr>
                <w:rFonts w:hint="eastAsia" w:ascii="宋体" w:hAnsi="宋体" w:cs="宋体"/>
                <w:sz w:val="24"/>
              </w:rPr>
              <w:t>分，较好者得</w:t>
            </w:r>
            <w:r>
              <w:rPr>
                <w:rFonts w:ascii="宋体" w:hAnsi="宋体" w:cs="宋体"/>
                <w:sz w:val="24"/>
              </w:rPr>
              <w:t>2</w:t>
            </w:r>
            <w:r>
              <w:rPr>
                <w:rFonts w:hint="eastAsia" w:ascii="宋体" w:hAnsi="宋体" w:cs="宋体"/>
                <w:sz w:val="24"/>
              </w:rPr>
              <w:t>分，一般者得</w:t>
            </w:r>
            <w:r>
              <w:rPr>
                <w:rFonts w:ascii="宋体" w:hAnsi="宋体" w:cs="宋体"/>
                <w:sz w:val="24"/>
              </w:rPr>
              <w:t>1</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rPr>
              <w:t>没有不得分。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2" w:type="pct"/>
            <w:vMerge w:val="continue"/>
            <w:tcBorders>
              <w:right w:val="single" w:color="auto" w:sz="4" w:space="0"/>
            </w:tcBorders>
            <w:vAlign w:val="center"/>
          </w:tcPr>
          <w:p>
            <w:pPr>
              <w:spacing w:line="440" w:lineRule="exact"/>
              <w:jc w:val="center"/>
              <w:rPr>
                <w:rFonts w:ascii="宋体" w:hAnsi="宋体" w:cs="宋体"/>
                <w:sz w:val="24"/>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设计进度计划及保证措施</w:t>
            </w:r>
          </w:p>
        </w:tc>
        <w:tc>
          <w:tcPr>
            <w:tcW w:w="3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kern w:val="0"/>
                <w:sz w:val="24"/>
              </w:rPr>
              <w:t>5</w:t>
            </w:r>
            <w:r>
              <w:rPr>
                <w:rFonts w:hint="eastAsia" w:ascii="宋体" w:hAnsi="宋体" w:cs="宋体"/>
                <w:kern w:val="0"/>
                <w:sz w:val="24"/>
              </w:rPr>
              <w:t>分</w:t>
            </w:r>
          </w:p>
        </w:tc>
        <w:tc>
          <w:tcPr>
            <w:tcW w:w="3335"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1.有进度计划目标承诺，且处罚措施严厉者得</w:t>
            </w:r>
            <w:r>
              <w:rPr>
                <w:rFonts w:ascii="宋体" w:hAnsi="宋体" w:cs="宋体"/>
                <w:sz w:val="24"/>
              </w:rPr>
              <w:t>2</w:t>
            </w:r>
            <w:r>
              <w:rPr>
                <w:rFonts w:hint="eastAsia" w:ascii="宋体" w:hAnsi="宋体" w:cs="宋体"/>
                <w:sz w:val="24"/>
              </w:rPr>
              <w:t>分，有进度计划目标承诺，处罚措施一般者得</w:t>
            </w:r>
            <w:r>
              <w:rPr>
                <w:rFonts w:ascii="宋体" w:hAnsi="宋体" w:cs="宋体"/>
                <w:sz w:val="24"/>
              </w:rPr>
              <w:t>1</w:t>
            </w:r>
            <w:r>
              <w:rPr>
                <w:rFonts w:hint="eastAsia" w:ascii="宋体" w:hAnsi="宋体" w:cs="宋体"/>
                <w:sz w:val="24"/>
              </w:rPr>
              <w:t>分。没有不得分。</w:t>
            </w:r>
            <w:r>
              <w:rPr>
                <w:rFonts w:hint="eastAsia" w:ascii="宋体" w:hAnsi="宋体" w:cs="宋体"/>
                <w:sz w:val="24"/>
              </w:rPr>
              <w:br w:type="textWrapping"/>
            </w:r>
            <w:r>
              <w:rPr>
                <w:rFonts w:hint="eastAsia" w:ascii="宋体" w:hAnsi="宋体" w:cs="宋体"/>
                <w:sz w:val="24"/>
              </w:rPr>
              <w:t>2.进度计划的保证措施具体详细，可行性强者得</w:t>
            </w:r>
            <w:r>
              <w:rPr>
                <w:rFonts w:ascii="宋体" w:hAnsi="宋体" w:cs="宋体"/>
                <w:sz w:val="24"/>
              </w:rPr>
              <w:t>3</w:t>
            </w:r>
            <w:r>
              <w:rPr>
                <w:rFonts w:hint="eastAsia" w:ascii="宋体" w:hAnsi="宋体" w:cs="宋体"/>
                <w:sz w:val="24"/>
              </w:rPr>
              <w:t>分，较好者得</w:t>
            </w:r>
            <w:r>
              <w:rPr>
                <w:rFonts w:ascii="宋体" w:hAnsi="宋体" w:cs="宋体"/>
                <w:sz w:val="24"/>
              </w:rPr>
              <w:t>2</w:t>
            </w:r>
            <w:r>
              <w:rPr>
                <w:rFonts w:hint="eastAsia" w:ascii="宋体" w:hAnsi="宋体" w:cs="宋体"/>
                <w:sz w:val="24"/>
              </w:rPr>
              <w:t>分，一般者得</w:t>
            </w:r>
            <w:r>
              <w:rPr>
                <w:rFonts w:ascii="宋体" w:hAnsi="宋体" w:cs="宋体"/>
                <w:sz w:val="24"/>
              </w:rPr>
              <w:t>1</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rPr>
              <w:t>没有不得分。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2" w:type="pct"/>
            <w:vMerge w:val="continue"/>
            <w:tcBorders>
              <w:right w:val="single" w:color="auto" w:sz="4" w:space="0"/>
            </w:tcBorders>
            <w:vAlign w:val="center"/>
          </w:tcPr>
          <w:p>
            <w:pPr>
              <w:spacing w:line="440" w:lineRule="exact"/>
              <w:jc w:val="center"/>
              <w:rPr>
                <w:rFonts w:ascii="宋体" w:hAnsi="宋体" w:cs="宋体"/>
                <w:sz w:val="24"/>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多专业组织协调与相关建设单位配合的方法和措施</w:t>
            </w:r>
          </w:p>
        </w:tc>
        <w:tc>
          <w:tcPr>
            <w:tcW w:w="3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kern w:val="0"/>
                <w:sz w:val="24"/>
              </w:rPr>
              <w:t>3</w:t>
            </w:r>
            <w:r>
              <w:rPr>
                <w:rFonts w:hint="eastAsia" w:ascii="宋体" w:hAnsi="宋体" w:cs="宋体"/>
                <w:kern w:val="0"/>
                <w:sz w:val="24"/>
              </w:rPr>
              <w:t>分</w:t>
            </w:r>
          </w:p>
        </w:tc>
        <w:tc>
          <w:tcPr>
            <w:tcW w:w="3335"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多专业组织协调与相关建设单位配合的方法和措施具体，可行性强者得</w:t>
            </w:r>
            <w:r>
              <w:rPr>
                <w:rFonts w:ascii="宋体" w:hAnsi="宋体" w:cs="宋体"/>
                <w:sz w:val="24"/>
              </w:rPr>
              <w:t>1</w:t>
            </w:r>
            <w:r>
              <w:rPr>
                <w:rFonts w:hint="eastAsia" w:ascii="宋体" w:hAnsi="宋体" w:cs="宋体"/>
                <w:sz w:val="24"/>
              </w:rPr>
              <w:t>分≤F≤</w:t>
            </w:r>
            <w:r>
              <w:rPr>
                <w:rFonts w:ascii="宋体" w:hAnsi="宋体" w:cs="宋体"/>
                <w:sz w:val="24"/>
              </w:rPr>
              <w:t>3</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rPr>
              <w:t>没有不得分。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2" w:type="pct"/>
            <w:vMerge w:val="continue"/>
            <w:tcBorders>
              <w:right w:val="single" w:color="auto" w:sz="4" w:space="0"/>
            </w:tcBorders>
            <w:vAlign w:val="center"/>
          </w:tcPr>
          <w:p>
            <w:pPr>
              <w:spacing w:line="440" w:lineRule="exact"/>
              <w:jc w:val="center"/>
              <w:rPr>
                <w:rFonts w:ascii="宋体" w:hAnsi="宋体" w:cs="宋体"/>
                <w:sz w:val="24"/>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提供优质服务的保证措施</w:t>
            </w:r>
          </w:p>
        </w:tc>
        <w:tc>
          <w:tcPr>
            <w:tcW w:w="3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分</w:t>
            </w:r>
          </w:p>
        </w:tc>
        <w:tc>
          <w:tcPr>
            <w:tcW w:w="3335"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投标人承诺在设计服务期限内提供优质服务且48小时随时响应的得</w:t>
            </w:r>
            <w:r>
              <w:rPr>
                <w:rFonts w:ascii="宋体" w:hAnsi="宋体" w:cs="宋体"/>
                <w:sz w:val="24"/>
              </w:rPr>
              <w:t>1</w:t>
            </w:r>
            <w:r>
              <w:rPr>
                <w:rFonts w:hint="eastAsia" w:ascii="宋体" w:hAnsi="宋体" w:cs="宋体"/>
                <w:sz w:val="24"/>
              </w:rPr>
              <w:t>分，其他得0分。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2" w:type="pct"/>
            <w:vMerge w:val="continue"/>
            <w:tcBorders>
              <w:bottom w:val="single" w:color="auto" w:sz="4" w:space="0"/>
              <w:right w:val="single" w:color="auto" w:sz="4" w:space="0"/>
            </w:tcBorders>
            <w:vAlign w:val="center"/>
          </w:tcPr>
          <w:p>
            <w:pPr>
              <w:spacing w:line="440" w:lineRule="exact"/>
              <w:jc w:val="center"/>
              <w:rPr>
                <w:rFonts w:ascii="宋体" w:hAnsi="宋体" w:cs="宋体"/>
                <w:sz w:val="24"/>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对本工程提出的合理化建议</w:t>
            </w:r>
          </w:p>
        </w:tc>
        <w:tc>
          <w:tcPr>
            <w:tcW w:w="3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sz w:val="24"/>
              </w:rPr>
            </w:pPr>
            <w:r>
              <w:rPr>
                <w:rFonts w:ascii="宋体" w:hAnsi="宋体" w:cs="宋体"/>
                <w:kern w:val="0"/>
                <w:sz w:val="24"/>
              </w:rPr>
              <w:t>3</w:t>
            </w:r>
            <w:r>
              <w:rPr>
                <w:rFonts w:hint="eastAsia" w:ascii="宋体" w:hAnsi="宋体" w:cs="宋体"/>
                <w:kern w:val="0"/>
                <w:sz w:val="24"/>
              </w:rPr>
              <w:t>分</w:t>
            </w:r>
          </w:p>
        </w:tc>
        <w:tc>
          <w:tcPr>
            <w:tcW w:w="3335"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结合本项目的建设特点提出合理化建议，合理化建议全面可行、有针对性，服务及其他优惠条件承诺具体明确，有实质性内容，优秀</w:t>
            </w:r>
            <w:bookmarkStart w:id="1" w:name="_GoBack"/>
            <w:bookmarkEnd w:id="1"/>
            <w:r>
              <w:rPr>
                <w:rFonts w:hint="eastAsia" w:ascii="宋体" w:hAnsi="宋体" w:cs="宋体"/>
                <w:sz w:val="24"/>
              </w:rPr>
              <w:t>者得</w:t>
            </w:r>
            <w:r>
              <w:rPr>
                <w:rFonts w:ascii="宋体" w:hAnsi="宋体" w:cs="宋体"/>
                <w:sz w:val="24"/>
              </w:rPr>
              <w:t>3</w:t>
            </w:r>
            <w:r>
              <w:rPr>
                <w:rFonts w:hint="eastAsia" w:ascii="宋体" w:hAnsi="宋体" w:cs="宋体"/>
                <w:sz w:val="24"/>
              </w:rPr>
              <w:t>分，较好者得</w:t>
            </w:r>
            <w:r>
              <w:rPr>
                <w:rFonts w:ascii="宋体" w:hAnsi="宋体" w:cs="宋体"/>
                <w:sz w:val="24"/>
              </w:rPr>
              <w:t>2</w:t>
            </w:r>
            <w:r>
              <w:rPr>
                <w:rFonts w:hint="eastAsia" w:ascii="宋体" w:hAnsi="宋体" w:cs="宋体"/>
                <w:sz w:val="24"/>
              </w:rPr>
              <w:t>分，一般者得</w:t>
            </w:r>
            <w:r>
              <w:rPr>
                <w:rFonts w:ascii="宋体" w:hAnsi="宋体" w:cs="宋体"/>
                <w:sz w:val="24"/>
              </w:rPr>
              <w:t>1</w:t>
            </w:r>
            <w:r>
              <w:rPr>
                <w:rFonts w:hint="eastAsia" w:ascii="宋体" w:hAnsi="宋体" w:cs="宋体"/>
                <w:sz w:val="24"/>
              </w:rPr>
              <w:t>分。没有不得分。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2" w:type="pct"/>
            <w:vMerge w:val="restart"/>
            <w:tcBorders>
              <w:top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商务文件评分标准</w:t>
            </w:r>
          </w:p>
        </w:tc>
        <w:tc>
          <w:tcPr>
            <w:tcW w:w="83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企业认证</w:t>
            </w:r>
          </w:p>
        </w:tc>
        <w:tc>
          <w:tcPr>
            <w:tcW w:w="3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kern w:val="0"/>
                <w:sz w:val="24"/>
              </w:rPr>
              <w:t>3</w:t>
            </w:r>
            <w:r>
              <w:rPr>
                <w:rFonts w:hint="eastAsia" w:ascii="宋体" w:hAnsi="宋体" w:cs="宋体"/>
                <w:kern w:val="0"/>
                <w:sz w:val="24"/>
              </w:rPr>
              <w:t>分</w:t>
            </w:r>
          </w:p>
        </w:tc>
        <w:tc>
          <w:tcPr>
            <w:tcW w:w="333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投标人具有有效的IS09001质量管理体系认证证书、ISO14001环境管理体系认证证书、IS045001职业健康安全管理体系认证证书的每项得</w:t>
            </w:r>
            <w:r>
              <w:rPr>
                <w:rFonts w:ascii="宋体" w:hAnsi="宋体" w:cs="宋体"/>
                <w:sz w:val="24"/>
              </w:rPr>
              <w:t>1</w:t>
            </w:r>
            <w:r>
              <w:rPr>
                <w:rFonts w:hint="eastAsia" w:ascii="宋体" w:hAnsi="宋体" w:cs="宋体"/>
                <w:sz w:val="24"/>
              </w:rPr>
              <w:t>分，满分</w:t>
            </w:r>
            <w:r>
              <w:rPr>
                <w:rFonts w:ascii="宋体" w:hAnsi="宋体" w:cs="宋体"/>
                <w:sz w:val="24"/>
              </w:rPr>
              <w:t>3</w:t>
            </w:r>
            <w:r>
              <w:rPr>
                <w:rFonts w:hint="eastAsia" w:ascii="宋体" w:hAnsi="宋体" w:cs="宋体"/>
                <w:sz w:val="24"/>
              </w:rPr>
              <w:t>分。</w:t>
            </w:r>
          </w:p>
          <w:p>
            <w:pPr>
              <w:spacing w:line="360" w:lineRule="auto"/>
              <w:rPr>
                <w:rFonts w:ascii="宋体" w:hAnsi="宋体" w:cs="宋体"/>
                <w:b/>
                <w:bCs/>
                <w:sz w:val="24"/>
              </w:rPr>
            </w:pPr>
            <w:r>
              <w:rPr>
                <w:rFonts w:hint="eastAsia" w:ascii="宋体" w:hAnsi="宋体" w:cs="宋体"/>
                <w:b/>
                <w:bCs/>
                <w:sz w:val="24"/>
              </w:rPr>
              <w:t>备注：投标文件中须提供以上证书扫描件及全国认证认可信息公共服务平台证书信息查询截图，未提供不得分。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2" w:type="pct"/>
            <w:vMerge w:val="continue"/>
            <w:tcBorders>
              <w:right w:val="single" w:color="auto" w:sz="4" w:space="0"/>
            </w:tcBorders>
            <w:vAlign w:val="center"/>
          </w:tcPr>
          <w:p>
            <w:pPr>
              <w:spacing w:line="440" w:lineRule="exact"/>
              <w:jc w:val="center"/>
              <w:rPr>
                <w:rFonts w:ascii="宋体" w:hAnsi="宋体" w:cs="宋体"/>
                <w:sz w:val="24"/>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企业获奖</w:t>
            </w:r>
          </w:p>
        </w:tc>
        <w:tc>
          <w:tcPr>
            <w:tcW w:w="3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sz w:val="24"/>
              </w:rPr>
            </w:pPr>
            <w:r>
              <w:rPr>
                <w:rFonts w:ascii="宋体" w:hAnsi="宋体" w:cs="宋体"/>
                <w:kern w:val="0"/>
                <w:sz w:val="24"/>
              </w:rPr>
              <w:t>5</w:t>
            </w:r>
            <w:r>
              <w:rPr>
                <w:rFonts w:hint="eastAsia" w:ascii="宋体" w:hAnsi="宋体" w:cs="宋体"/>
                <w:kern w:val="0"/>
                <w:sz w:val="24"/>
              </w:rPr>
              <w:t>分</w:t>
            </w:r>
          </w:p>
        </w:tc>
        <w:tc>
          <w:tcPr>
            <w:tcW w:w="333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w:t>
            </w:r>
            <w:r>
              <w:rPr>
                <w:rFonts w:ascii="宋体" w:hAnsi="宋体" w:cs="宋体"/>
                <w:sz w:val="24"/>
              </w:rPr>
              <w:t>投标人自2020年1月1日至投标截止</w:t>
            </w:r>
            <w:r>
              <w:rPr>
                <w:rFonts w:hint="eastAsia" w:ascii="宋体" w:hAnsi="宋体" w:cs="宋体"/>
                <w:sz w:val="24"/>
              </w:rPr>
              <w:t>时间</w:t>
            </w:r>
            <w:r>
              <w:rPr>
                <w:rFonts w:ascii="宋体" w:hAnsi="宋体" w:cs="宋体"/>
                <w:sz w:val="24"/>
              </w:rPr>
              <w:t>前，承担过的公共建筑工程项目获</w:t>
            </w:r>
            <w:r>
              <w:rPr>
                <w:rFonts w:hint="eastAsia" w:ascii="宋体" w:hAnsi="宋体" w:cs="宋体"/>
                <w:sz w:val="24"/>
              </w:rPr>
              <w:t>得国家级设计奖项的，每个得</w:t>
            </w:r>
            <w:r>
              <w:rPr>
                <w:rFonts w:ascii="宋体" w:hAnsi="宋体" w:cs="宋体"/>
                <w:sz w:val="24"/>
              </w:rPr>
              <w:t>2分</w:t>
            </w:r>
            <w:r>
              <w:rPr>
                <w:rFonts w:hint="eastAsia" w:ascii="宋体" w:hAnsi="宋体" w:cs="宋体"/>
                <w:sz w:val="24"/>
              </w:rPr>
              <w:t>，</w:t>
            </w:r>
            <w:r>
              <w:rPr>
                <w:rFonts w:ascii="宋体" w:hAnsi="宋体" w:cs="宋体"/>
                <w:sz w:val="24"/>
              </w:rPr>
              <w:t>获</w:t>
            </w:r>
            <w:r>
              <w:rPr>
                <w:rFonts w:hint="eastAsia" w:ascii="宋体" w:hAnsi="宋体" w:cs="宋体"/>
                <w:sz w:val="24"/>
              </w:rPr>
              <w:t>得省级设计奖项的，每个得</w:t>
            </w:r>
            <w:r>
              <w:rPr>
                <w:rFonts w:ascii="宋体" w:hAnsi="宋体" w:cs="宋体"/>
                <w:sz w:val="24"/>
              </w:rPr>
              <w:t>1分</w:t>
            </w:r>
            <w:r>
              <w:rPr>
                <w:rFonts w:hint="eastAsia" w:ascii="宋体" w:hAnsi="宋体" w:cs="宋体"/>
                <w:sz w:val="24"/>
              </w:rPr>
              <w:t>，</w:t>
            </w:r>
            <w:r>
              <w:rPr>
                <w:rFonts w:ascii="宋体" w:hAnsi="宋体" w:cs="宋体"/>
                <w:sz w:val="24"/>
              </w:rPr>
              <w:t>本项最多得4分</w:t>
            </w:r>
            <w:r>
              <w:rPr>
                <w:rFonts w:hint="eastAsia" w:ascii="宋体" w:hAnsi="宋体" w:cs="宋体"/>
                <w:sz w:val="24"/>
              </w:rPr>
              <w:t>。同一项目获得多个奖项只计最高奖项，不累计计分。</w:t>
            </w:r>
          </w:p>
          <w:p>
            <w:pPr>
              <w:spacing w:line="360" w:lineRule="auto"/>
              <w:rPr>
                <w:rFonts w:ascii="宋体" w:hAnsi="宋体" w:cs="宋体"/>
                <w:sz w:val="24"/>
              </w:rPr>
            </w:pPr>
            <w:r>
              <w:rPr>
                <w:rFonts w:hint="eastAsia" w:ascii="宋体" w:hAnsi="宋体" w:cs="宋体"/>
                <w:b/>
                <w:bCs/>
                <w:sz w:val="24"/>
              </w:rPr>
              <w:t>备注：</w:t>
            </w:r>
            <w:r>
              <w:rPr>
                <w:rFonts w:ascii="宋体" w:hAnsi="宋体" w:cs="宋体"/>
                <w:b/>
                <w:bCs/>
                <w:sz w:val="24"/>
              </w:rPr>
              <w:t>国家级设计奖项指由</w:t>
            </w:r>
            <w:r>
              <w:rPr>
                <w:rFonts w:hint="eastAsia" w:ascii="宋体" w:hAnsi="宋体" w:cs="宋体"/>
                <w:b/>
                <w:bCs/>
                <w:sz w:val="24"/>
              </w:rPr>
              <w:t>国家行政主管部门或</w:t>
            </w:r>
            <w:r>
              <w:rPr>
                <w:rFonts w:ascii="宋体" w:hAnsi="宋体" w:cs="宋体"/>
                <w:b/>
                <w:bCs/>
                <w:sz w:val="24"/>
              </w:rPr>
              <w:t>中国勘察设计协会颁发的设计奖项</w:t>
            </w:r>
            <w:r>
              <w:rPr>
                <w:rFonts w:hint="eastAsia" w:ascii="宋体" w:hAnsi="宋体" w:cs="宋体"/>
                <w:b/>
                <w:bCs/>
                <w:sz w:val="24"/>
              </w:rPr>
              <w:t>，省级</w:t>
            </w:r>
            <w:r>
              <w:rPr>
                <w:rFonts w:ascii="宋体" w:hAnsi="宋体" w:cs="宋体"/>
                <w:b/>
                <w:bCs/>
                <w:sz w:val="24"/>
              </w:rPr>
              <w:t>设计奖项指由</w:t>
            </w:r>
            <w:r>
              <w:rPr>
                <w:rFonts w:hint="eastAsia" w:ascii="宋体" w:hAnsi="宋体" w:cs="宋体"/>
                <w:b/>
                <w:bCs/>
                <w:sz w:val="24"/>
              </w:rPr>
              <w:t>省级行政主管部门或省级勘察设计协会颁发的设计奖项</w:t>
            </w:r>
            <w:r>
              <w:rPr>
                <w:rFonts w:ascii="宋体" w:hAnsi="宋体" w:cs="宋体"/>
                <w:b/>
                <w:bCs/>
                <w:sz w:val="24"/>
              </w:rPr>
              <w:t>，其他机构颁发的不计，不含专项设计奖</w:t>
            </w:r>
            <w:r>
              <w:rPr>
                <w:rFonts w:hint="eastAsia" w:ascii="宋体" w:hAnsi="宋体" w:cs="宋体"/>
                <w:b/>
                <w:bCs/>
                <w:sz w:val="24"/>
                <w:lang w:eastAsia="zh-CN"/>
              </w:rPr>
              <w:t>。</w:t>
            </w:r>
            <w:r>
              <w:rPr>
                <w:rFonts w:hint="eastAsia" w:ascii="宋体" w:hAnsi="宋体" w:cs="宋体"/>
                <w:b/>
                <w:bCs/>
                <w:sz w:val="24"/>
              </w:rPr>
              <w:t>提供获奖证书，以证书时间为准。投标人提供自认为最具代表性、契合性的奖项，奖项个数最多不超过2个，同一项目获得多个奖项的仅作为1个奖项计取。如投标人提供的奖项超过2个，评标委员会只评审投标人在获奖评审表中序号前2个的奖项，投标人自行考虑排序。</w:t>
            </w:r>
          </w:p>
          <w:p>
            <w:pPr>
              <w:spacing w:line="360" w:lineRule="auto"/>
              <w:rPr>
                <w:rFonts w:ascii="宋体" w:hAnsi="宋体" w:cs="宋体"/>
                <w:sz w:val="24"/>
              </w:rPr>
            </w:pPr>
            <w:r>
              <w:rPr>
                <w:rFonts w:hint="eastAsia" w:ascii="宋体" w:hAnsi="宋体" w:cs="宋体"/>
                <w:sz w:val="24"/>
              </w:rPr>
              <w:t>2.投标人获得过中国勘察设计协会举办的BIM应用大赛奖项的，得1分，否则不得分。</w:t>
            </w:r>
          </w:p>
          <w:p>
            <w:pPr>
              <w:spacing w:line="360" w:lineRule="auto"/>
              <w:rPr>
                <w:rFonts w:ascii="宋体" w:hAnsi="宋体" w:cs="宋体"/>
                <w:sz w:val="24"/>
              </w:rPr>
            </w:pPr>
            <w:r>
              <w:rPr>
                <w:rFonts w:hint="eastAsia" w:ascii="宋体" w:hAnsi="宋体" w:cs="宋体"/>
                <w:b/>
                <w:bCs/>
                <w:sz w:val="24"/>
              </w:rPr>
              <w:t>备注：提供获奖证书。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2" w:type="pct"/>
            <w:vMerge w:val="continue"/>
            <w:tcBorders>
              <w:right w:val="single" w:color="auto" w:sz="4" w:space="0"/>
            </w:tcBorders>
            <w:vAlign w:val="center"/>
          </w:tcPr>
          <w:p>
            <w:pPr>
              <w:spacing w:line="440" w:lineRule="exact"/>
              <w:jc w:val="center"/>
              <w:rPr>
                <w:rFonts w:ascii="宋体" w:hAnsi="宋体" w:cs="宋体"/>
                <w:sz w:val="24"/>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类似项目业绩</w:t>
            </w:r>
          </w:p>
        </w:tc>
        <w:tc>
          <w:tcPr>
            <w:tcW w:w="379"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ascii="宋体" w:hAnsi="宋体" w:cs="宋体"/>
                <w:kern w:val="0"/>
                <w:sz w:val="24"/>
              </w:rPr>
              <w:t>6</w:t>
            </w:r>
            <w:r>
              <w:rPr>
                <w:rFonts w:hint="eastAsia" w:ascii="宋体" w:hAnsi="宋体" w:cs="宋体"/>
                <w:kern w:val="0"/>
                <w:sz w:val="24"/>
              </w:rPr>
              <w:t>分</w:t>
            </w:r>
          </w:p>
        </w:tc>
        <w:tc>
          <w:tcPr>
            <w:tcW w:w="333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投标人自</w:t>
            </w:r>
            <w:r>
              <w:rPr>
                <w:rFonts w:ascii="宋体" w:hAnsi="宋体" w:cs="宋体"/>
                <w:sz w:val="24"/>
              </w:rPr>
              <w:t>2020年1月1日至投标截止日前，</w:t>
            </w:r>
            <w:r>
              <w:rPr>
                <w:rFonts w:hint="eastAsia" w:ascii="宋体" w:hAnsi="宋体" w:cs="宋体"/>
                <w:sz w:val="24"/>
              </w:rPr>
              <w:t>提供</w:t>
            </w:r>
            <w:r>
              <w:rPr>
                <w:rFonts w:ascii="宋体" w:hAnsi="宋体" w:cs="宋体"/>
                <w:sz w:val="24"/>
              </w:rPr>
              <w:t>一项已完成</w:t>
            </w:r>
            <w:r>
              <w:rPr>
                <w:rFonts w:hint="eastAsia" w:ascii="宋体" w:hAnsi="宋体" w:cs="宋体"/>
                <w:sz w:val="24"/>
              </w:rPr>
              <w:t>的单项合同建筑面积</w:t>
            </w:r>
            <w:r>
              <w:rPr>
                <w:rFonts w:ascii="宋体" w:hAnsi="宋体" w:cs="宋体"/>
                <w:sz w:val="24"/>
              </w:rPr>
              <w:t>20</w:t>
            </w:r>
            <w:r>
              <w:rPr>
                <w:rFonts w:hint="eastAsia" w:ascii="宋体" w:hAnsi="宋体" w:cs="宋体"/>
                <w:sz w:val="24"/>
              </w:rPr>
              <w:t>万平方米及以上规模的公共建筑类工程设计项目的业绩，每个得</w:t>
            </w:r>
            <w:r>
              <w:rPr>
                <w:rFonts w:ascii="宋体" w:hAnsi="宋体" w:cs="宋体"/>
                <w:sz w:val="24"/>
              </w:rPr>
              <w:t>3分，本项最多6分。</w:t>
            </w:r>
          </w:p>
          <w:p>
            <w:pPr>
              <w:spacing w:line="360" w:lineRule="auto"/>
              <w:rPr>
                <w:rFonts w:ascii="宋体" w:hAnsi="宋体" w:cs="宋体"/>
                <w:b/>
                <w:bCs/>
                <w:sz w:val="24"/>
              </w:rPr>
            </w:pPr>
            <w:r>
              <w:rPr>
                <w:rFonts w:hint="eastAsia" w:ascii="宋体" w:hAnsi="宋体" w:cs="宋体"/>
                <w:b/>
                <w:bCs/>
                <w:sz w:val="24"/>
              </w:rPr>
              <w:t>备注：业绩提供合同协议书及初设批复，以合同签订时间为准，合同中需体现项目规模或投资金额及设计阶段包含初步设计阶段。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2" w:type="pct"/>
            <w:vMerge w:val="continue"/>
            <w:tcBorders>
              <w:right w:val="single" w:color="auto" w:sz="4" w:space="0"/>
            </w:tcBorders>
            <w:vAlign w:val="center"/>
          </w:tcPr>
          <w:p>
            <w:pPr>
              <w:spacing w:line="440" w:lineRule="exact"/>
              <w:jc w:val="center"/>
              <w:rPr>
                <w:rFonts w:ascii="宋体" w:hAnsi="宋体" w:cs="宋体"/>
                <w:sz w:val="24"/>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项目负责人资历和业绩</w:t>
            </w:r>
          </w:p>
        </w:tc>
        <w:tc>
          <w:tcPr>
            <w:tcW w:w="3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sz w:val="24"/>
              </w:rPr>
            </w:pPr>
            <w:r>
              <w:rPr>
                <w:rFonts w:ascii="宋体" w:hAnsi="宋体" w:cs="宋体"/>
                <w:kern w:val="0"/>
                <w:sz w:val="24"/>
              </w:rPr>
              <w:t>4</w:t>
            </w:r>
            <w:r>
              <w:rPr>
                <w:rFonts w:hint="eastAsia" w:ascii="宋体" w:hAnsi="宋体" w:cs="宋体"/>
                <w:kern w:val="0"/>
                <w:sz w:val="24"/>
              </w:rPr>
              <w:t>分</w:t>
            </w:r>
          </w:p>
        </w:tc>
        <w:tc>
          <w:tcPr>
            <w:tcW w:w="333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1.项目负责人为正高级（教授级）高级工程师的得2分。</w:t>
            </w:r>
            <w:r>
              <w:rPr>
                <w:rFonts w:hint="eastAsia" w:ascii="宋体" w:hAnsi="宋体" w:cs="宋体"/>
                <w:b/>
                <w:bCs/>
                <w:sz w:val="24"/>
              </w:rPr>
              <w:t>备注：须提供职称证书复印件或扫描件及投标人缴纳的近1年内任意连续6个月社保证明。</w:t>
            </w:r>
          </w:p>
          <w:p>
            <w:pPr>
              <w:spacing w:line="360" w:lineRule="auto"/>
              <w:rPr>
                <w:rFonts w:ascii="宋体" w:hAnsi="宋体" w:cs="宋体"/>
                <w:sz w:val="24"/>
              </w:rPr>
            </w:pPr>
            <w:r>
              <w:rPr>
                <w:rFonts w:hint="eastAsia" w:ascii="宋体" w:hAnsi="宋体" w:cs="宋体"/>
                <w:sz w:val="24"/>
              </w:rPr>
              <w:t>2.</w:t>
            </w:r>
            <w:r>
              <w:rPr>
                <w:rFonts w:ascii="宋体" w:hAnsi="宋体" w:cs="宋体"/>
                <w:sz w:val="24"/>
              </w:rPr>
              <w:t>项目负责人自2020年1月1日至投标截止日前，</w:t>
            </w:r>
            <w:r>
              <w:rPr>
                <w:rFonts w:hint="eastAsia" w:ascii="宋体" w:hAnsi="宋体" w:cs="宋体"/>
                <w:sz w:val="24"/>
              </w:rPr>
              <w:t>提供一</w:t>
            </w:r>
            <w:r>
              <w:rPr>
                <w:rFonts w:ascii="宋体" w:hAnsi="宋体" w:cs="宋体"/>
                <w:sz w:val="24"/>
              </w:rPr>
              <w:t>项已完成</w:t>
            </w:r>
            <w:r>
              <w:rPr>
                <w:rFonts w:hint="eastAsia" w:ascii="宋体" w:hAnsi="宋体" w:cs="宋体"/>
                <w:sz w:val="24"/>
              </w:rPr>
              <w:t>的单项合同建筑面积</w:t>
            </w:r>
            <w:r>
              <w:rPr>
                <w:rFonts w:ascii="宋体" w:hAnsi="宋体" w:cs="宋体"/>
                <w:sz w:val="24"/>
              </w:rPr>
              <w:t>20万平方米及以上规模</w:t>
            </w:r>
            <w:r>
              <w:rPr>
                <w:rFonts w:hint="eastAsia" w:ascii="宋体" w:hAnsi="宋体" w:cs="宋体"/>
                <w:sz w:val="24"/>
              </w:rPr>
              <w:t>的公共建筑类工程设计项目业绩得</w:t>
            </w:r>
            <w:r>
              <w:rPr>
                <w:rFonts w:ascii="宋体" w:hAnsi="宋体" w:cs="宋体"/>
                <w:sz w:val="24"/>
              </w:rPr>
              <w:t>2分，</w:t>
            </w:r>
            <w:r>
              <w:rPr>
                <w:rFonts w:hint="eastAsia" w:ascii="宋体" w:hAnsi="宋体" w:cs="宋体"/>
                <w:sz w:val="24"/>
              </w:rPr>
              <w:t>本项最多得</w:t>
            </w:r>
            <w:r>
              <w:rPr>
                <w:rFonts w:ascii="宋体" w:hAnsi="宋体" w:cs="宋体"/>
                <w:sz w:val="24"/>
              </w:rPr>
              <w:t>2分。</w:t>
            </w:r>
          </w:p>
          <w:p>
            <w:pPr>
              <w:spacing w:line="360" w:lineRule="auto"/>
              <w:rPr>
                <w:rFonts w:ascii="宋体" w:hAnsi="宋体" w:cs="宋体"/>
                <w:b/>
                <w:bCs/>
                <w:sz w:val="24"/>
              </w:rPr>
            </w:pPr>
            <w:r>
              <w:rPr>
                <w:rFonts w:hint="eastAsia" w:ascii="宋体" w:hAnsi="宋体" w:cs="宋体"/>
                <w:b/>
                <w:bCs/>
                <w:sz w:val="24"/>
              </w:rPr>
              <w:t>备注：</w:t>
            </w:r>
            <w:r>
              <w:rPr>
                <w:rFonts w:ascii="宋体" w:hAnsi="宋体" w:cs="宋体"/>
                <w:b/>
                <w:bCs/>
                <w:sz w:val="24"/>
              </w:rPr>
              <w:t>业绩提供合同协议书及初设批复，以合同签订时间为准，合同中</w:t>
            </w:r>
            <w:r>
              <w:rPr>
                <w:rFonts w:hint="eastAsia" w:ascii="宋体" w:hAnsi="宋体" w:cs="宋体"/>
                <w:b/>
                <w:bCs/>
                <w:sz w:val="24"/>
              </w:rPr>
              <w:t>需体现项目规模或投资金额及设计阶段包含初步设计阶段，合同中需体现项目负责人，业绩可以与企业业绩重复。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2" w:type="pct"/>
            <w:vMerge w:val="continue"/>
            <w:tcBorders>
              <w:right w:val="single" w:color="auto" w:sz="4" w:space="0"/>
            </w:tcBorders>
            <w:vAlign w:val="center"/>
          </w:tcPr>
          <w:p>
            <w:pPr>
              <w:spacing w:line="440" w:lineRule="exact"/>
              <w:jc w:val="center"/>
              <w:rPr>
                <w:rFonts w:ascii="宋体" w:hAnsi="宋体" w:cs="宋体"/>
                <w:sz w:val="24"/>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其他主要人员资历和业绩</w:t>
            </w:r>
          </w:p>
        </w:tc>
        <w:tc>
          <w:tcPr>
            <w:tcW w:w="3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sz w:val="24"/>
              </w:rPr>
            </w:pPr>
            <w:r>
              <w:rPr>
                <w:rFonts w:ascii="宋体" w:hAnsi="宋体" w:cs="宋体"/>
                <w:kern w:val="0"/>
                <w:sz w:val="24"/>
              </w:rPr>
              <w:t>8</w:t>
            </w:r>
            <w:r>
              <w:rPr>
                <w:rFonts w:hint="eastAsia" w:ascii="宋体" w:hAnsi="宋体" w:cs="宋体"/>
                <w:kern w:val="0"/>
                <w:sz w:val="24"/>
              </w:rPr>
              <w:t>分</w:t>
            </w:r>
          </w:p>
        </w:tc>
        <w:tc>
          <w:tcPr>
            <w:tcW w:w="3335"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1.建筑、结构、给排水、电气各专业配备齐全，各专业负责人具备高级及以上职称的每个得</w:t>
            </w:r>
            <w:r>
              <w:rPr>
                <w:rFonts w:ascii="宋体" w:hAnsi="宋体" w:cs="宋体"/>
                <w:sz w:val="24"/>
              </w:rPr>
              <w:t>1</w:t>
            </w:r>
            <w:r>
              <w:rPr>
                <w:rFonts w:hint="eastAsia" w:ascii="宋体" w:hAnsi="宋体" w:cs="宋体"/>
                <w:sz w:val="24"/>
              </w:rPr>
              <w:t>分，本项最多得</w:t>
            </w:r>
            <w:r>
              <w:rPr>
                <w:rFonts w:ascii="宋体" w:hAnsi="宋体" w:cs="宋体"/>
                <w:sz w:val="24"/>
              </w:rPr>
              <w:t>4</w:t>
            </w:r>
            <w:r>
              <w:rPr>
                <w:rFonts w:hint="eastAsia" w:ascii="宋体" w:hAnsi="宋体" w:cs="宋体"/>
                <w:sz w:val="24"/>
              </w:rPr>
              <w:t>分。</w:t>
            </w:r>
          </w:p>
          <w:p>
            <w:pPr>
              <w:spacing w:line="440" w:lineRule="exact"/>
              <w:rPr>
                <w:rFonts w:ascii="宋体" w:hAnsi="宋体" w:cs="宋体"/>
                <w:sz w:val="24"/>
              </w:rPr>
            </w:pPr>
            <w:r>
              <w:rPr>
                <w:rFonts w:hint="eastAsia" w:ascii="宋体" w:hAnsi="宋体" w:cs="宋体"/>
                <w:b/>
                <w:bCs/>
                <w:sz w:val="24"/>
              </w:rPr>
              <w:t>备注：提供职称证复印件及投标人缴纳的近1年内任意连续6个月有效社保证明。</w:t>
            </w:r>
          </w:p>
          <w:p>
            <w:pPr>
              <w:spacing w:line="440" w:lineRule="exact"/>
              <w:rPr>
                <w:rFonts w:ascii="宋体" w:hAnsi="宋体" w:cs="宋体"/>
                <w:sz w:val="24"/>
              </w:rPr>
            </w:pPr>
            <w:r>
              <w:rPr>
                <w:rFonts w:hint="eastAsia" w:ascii="宋体" w:hAnsi="宋体" w:cs="宋体"/>
                <w:sz w:val="24"/>
              </w:rPr>
              <w:t>2.投标人在职人员获得过全国工程勘察设计大师的每一人得</w:t>
            </w:r>
            <w:r>
              <w:rPr>
                <w:rFonts w:ascii="宋体" w:hAnsi="宋体" w:cs="宋体"/>
                <w:sz w:val="24"/>
              </w:rPr>
              <w:t>4</w:t>
            </w:r>
            <w:r>
              <w:rPr>
                <w:rFonts w:hint="eastAsia" w:ascii="宋体" w:hAnsi="宋体" w:cs="宋体"/>
                <w:sz w:val="24"/>
              </w:rPr>
              <w:t>分，本项最多得</w:t>
            </w:r>
            <w:r>
              <w:rPr>
                <w:rFonts w:ascii="宋体" w:hAnsi="宋体" w:cs="宋体"/>
                <w:sz w:val="24"/>
              </w:rPr>
              <w:t>4</w:t>
            </w:r>
            <w:r>
              <w:rPr>
                <w:rFonts w:hint="eastAsia" w:ascii="宋体" w:hAnsi="宋体" w:cs="宋体"/>
                <w:sz w:val="24"/>
              </w:rPr>
              <w:t>分。</w:t>
            </w:r>
          </w:p>
          <w:p>
            <w:pPr>
              <w:spacing w:line="440" w:lineRule="exact"/>
              <w:rPr>
                <w:rFonts w:ascii="宋体" w:hAnsi="宋体" w:cs="宋体"/>
                <w:b/>
                <w:bCs/>
                <w:sz w:val="24"/>
              </w:rPr>
            </w:pPr>
            <w:r>
              <w:rPr>
                <w:rFonts w:hint="eastAsia" w:ascii="宋体" w:hAnsi="宋体" w:cs="宋体"/>
                <w:b/>
                <w:bCs/>
                <w:sz w:val="24"/>
              </w:rPr>
              <w:t>备注：须提供入选全国工程勘察设计大师证明文件原件彩色扫描件及投标人缴纳的近1年内任意连续6个月有效社保证明。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2" w:type="pct"/>
            <w:vMerge w:val="continue"/>
            <w:tcBorders>
              <w:right w:val="single" w:color="auto" w:sz="4" w:space="0"/>
            </w:tcBorders>
            <w:vAlign w:val="center"/>
          </w:tcPr>
          <w:p>
            <w:pPr>
              <w:spacing w:line="440" w:lineRule="exact"/>
              <w:jc w:val="center"/>
              <w:rPr>
                <w:rFonts w:ascii="宋体" w:hAnsi="宋体" w:cs="宋体"/>
                <w:sz w:val="24"/>
              </w:rPr>
            </w:pPr>
          </w:p>
        </w:tc>
        <w:tc>
          <w:tcPr>
            <w:tcW w:w="83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项目负责人获奖</w:t>
            </w:r>
          </w:p>
        </w:tc>
        <w:tc>
          <w:tcPr>
            <w:tcW w:w="3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sz w:val="24"/>
              </w:rPr>
            </w:pPr>
            <w:r>
              <w:rPr>
                <w:rFonts w:ascii="宋体" w:hAnsi="宋体" w:cs="宋体"/>
                <w:kern w:val="0"/>
                <w:sz w:val="24"/>
              </w:rPr>
              <w:t>4</w:t>
            </w:r>
            <w:r>
              <w:rPr>
                <w:rFonts w:hint="eastAsia" w:ascii="宋体" w:hAnsi="宋体" w:cs="宋体"/>
                <w:kern w:val="0"/>
                <w:sz w:val="24"/>
              </w:rPr>
              <w:t>分</w:t>
            </w:r>
          </w:p>
        </w:tc>
        <w:tc>
          <w:tcPr>
            <w:tcW w:w="333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项目负责人自2020年1月1日至投标截止时间前，获得过国家级建筑设计奖项的，每个得</w:t>
            </w:r>
            <w:r>
              <w:rPr>
                <w:rFonts w:ascii="宋体" w:hAnsi="宋体" w:cs="宋体"/>
                <w:sz w:val="24"/>
              </w:rPr>
              <w:t>2</w:t>
            </w:r>
            <w:r>
              <w:rPr>
                <w:rFonts w:hint="eastAsia" w:ascii="宋体" w:hAnsi="宋体" w:cs="宋体"/>
                <w:sz w:val="24"/>
              </w:rPr>
              <w:t>分，</w:t>
            </w:r>
            <w:r>
              <w:rPr>
                <w:rFonts w:ascii="宋体" w:hAnsi="宋体" w:cs="宋体"/>
                <w:sz w:val="24"/>
              </w:rPr>
              <w:t>获</w:t>
            </w:r>
            <w:r>
              <w:rPr>
                <w:rFonts w:hint="eastAsia" w:ascii="宋体" w:hAnsi="宋体" w:cs="宋体"/>
                <w:sz w:val="24"/>
              </w:rPr>
              <w:t>得省级设计奖项的，每个得</w:t>
            </w:r>
            <w:r>
              <w:rPr>
                <w:rFonts w:ascii="宋体" w:hAnsi="宋体" w:cs="宋体"/>
                <w:sz w:val="24"/>
              </w:rPr>
              <w:t>1分</w:t>
            </w:r>
            <w:r>
              <w:rPr>
                <w:rFonts w:hint="eastAsia" w:ascii="宋体" w:hAnsi="宋体" w:cs="宋体"/>
                <w:sz w:val="24"/>
              </w:rPr>
              <w:t>。本项满分</w:t>
            </w:r>
            <w:r>
              <w:rPr>
                <w:rFonts w:ascii="宋体" w:hAnsi="宋体" w:cs="宋体"/>
                <w:sz w:val="24"/>
              </w:rPr>
              <w:t>4</w:t>
            </w:r>
            <w:r>
              <w:rPr>
                <w:rFonts w:hint="eastAsia" w:ascii="宋体" w:hAnsi="宋体" w:cs="宋体"/>
                <w:sz w:val="24"/>
              </w:rPr>
              <w:t>分。同一项目获得多个奖项只计最高奖项，不累计计分。</w:t>
            </w:r>
          </w:p>
          <w:p>
            <w:pPr>
              <w:spacing w:line="360" w:lineRule="auto"/>
              <w:rPr>
                <w:rFonts w:ascii="宋体" w:hAnsi="宋体" w:cs="宋体"/>
                <w:b/>
                <w:bCs/>
                <w:sz w:val="24"/>
              </w:rPr>
            </w:pPr>
            <w:r>
              <w:rPr>
                <w:rFonts w:hint="eastAsia" w:ascii="宋体" w:hAnsi="宋体" w:cs="宋体"/>
                <w:b/>
                <w:bCs/>
                <w:sz w:val="24"/>
              </w:rPr>
              <w:t>备注：国家级设计奖项指由国家行政主管部门或中国勘察设计协会颁发的设计奖项，省级</w:t>
            </w:r>
            <w:r>
              <w:rPr>
                <w:rFonts w:ascii="宋体" w:hAnsi="宋体" w:cs="宋体"/>
                <w:b/>
                <w:bCs/>
                <w:sz w:val="24"/>
              </w:rPr>
              <w:t>设计奖项指由</w:t>
            </w:r>
            <w:r>
              <w:rPr>
                <w:rFonts w:hint="eastAsia" w:ascii="宋体" w:hAnsi="宋体" w:cs="宋体"/>
                <w:b/>
                <w:bCs/>
                <w:sz w:val="24"/>
              </w:rPr>
              <w:t>省级行政主管部门或省级勘察设计协会颁发的设计奖项，其他机构颁发的不计，不含专项设计奖。提供获奖证书，以证书时间为准。投标人提供自认为最具代表性、契合</w:t>
            </w:r>
            <w:r>
              <w:rPr>
                <w:rFonts w:hint="eastAsia" w:ascii="宋体" w:hAnsi="宋体" w:cs="宋体"/>
                <w:b/>
                <w:bCs/>
                <w:sz w:val="24"/>
                <w:lang w:eastAsia="zh-CN"/>
              </w:rPr>
              <w:t>度</w:t>
            </w:r>
            <w:r>
              <w:rPr>
                <w:rFonts w:hint="eastAsia" w:ascii="宋体" w:hAnsi="宋体" w:cs="宋体"/>
                <w:b/>
                <w:bCs/>
                <w:sz w:val="24"/>
              </w:rPr>
              <w:t>的奖项，奖项个数最多不超过2个，同一项目获得多个奖项的仅作为1个奖项计取。如投标人提供的奖项超过2个，评标委员会只评审投标人在获奖评审表中序号前2个</w:t>
            </w:r>
            <w:r>
              <w:rPr>
                <w:rFonts w:hint="eastAsia" w:ascii="宋体" w:hAnsi="宋体" w:cs="宋体"/>
                <w:b/>
                <w:bCs/>
                <w:sz w:val="24"/>
                <w:lang w:val="en-US" w:eastAsia="zh-CN"/>
              </w:rPr>
              <w:t>的</w:t>
            </w:r>
            <w:r>
              <w:rPr>
                <w:rFonts w:hint="eastAsia" w:ascii="宋体" w:hAnsi="宋体" w:cs="宋体"/>
                <w:b/>
                <w:bCs/>
                <w:sz w:val="24"/>
              </w:rPr>
              <w:t>奖项，投标人自行考虑排序。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452" w:type="pct"/>
            <w:tcBorders>
              <w:top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报价文件评分标准</w:t>
            </w:r>
          </w:p>
        </w:tc>
        <w:tc>
          <w:tcPr>
            <w:tcW w:w="83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投标报价</w:t>
            </w:r>
          </w:p>
        </w:tc>
        <w:tc>
          <w:tcPr>
            <w:tcW w:w="37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10</w:t>
            </w:r>
            <w:r>
              <w:rPr>
                <w:rFonts w:hint="eastAsia" w:ascii="宋体" w:hAnsi="宋体" w:cs="宋体"/>
                <w:sz w:val="24"/>
              </w:rPr>
              <w:t>分</w:t>
            </w:r>
          </w:p>
        </w:tc>
        <w:tc>
          <w:tcPr>
            <w:tcW w:w="333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rPr>
            </w:pPr>
            <w:r>
              <w:rPr>
                <w:rFonts w:hint="eastAsia" w:ascii="宋体" w:hAnsi="宋体" w:cs="宋体"/>
                <w:sz w:val="24"/>
              </w:rPr>
              <w:t>1</w:t>
            </w:r>
            <w:r>
              <w:rPr>
                <w:rFonts w:ascii="宋体" w:hAnsi="宋体" w:cs="宋体"/>
                <w:sz w:val="24"/>
              </w:rPr>
              <w:t>.确定评标价</w:t>
            </w:r>
          </w:p>
          <w:p>
            <w:pPr>
              <w:widowControl/>
              <w:spacing w:line="360" w:lineRule="auto"/>
              <w:jc w:val="left"/>
              <w:rPr>
                <w:rFonts w:ascii="宋体" w:hAnsi="宋体" w:cs="宋体"/>
                <w:sz w:val="24"/>
              </w:rPr>
            </w:pPr>
            <w:r>
              <w:rPr>
                <w:rFonts w:ascii="宋体" w:hAnsi="宋体" w:cs="宋体"/>
                <w:sz w:val="24"/>
              </w:rPr>
              <w:t>评标价=投标函文字报价</w:t>
            </w:r>
          </w:p>
          <w:p>
            <w:pPr>
              <w:widowControl/>
              <w:spacing w:line="360" w:lineRule="auto"/>
              <w:jc w:val="left"/>
              <w:rPr>
                <w:rFonts w:ascii="宋体" w:hAnsi="宋体" w:cs="宋体"/>
                <w:sz w:val="24"/>
              </w:rPr>
            </w:pPr>
            <w:r>
              <w:rPr>
                <w:rFonts w:hint="eastAsia" w:ascii="宋体" w:hAnsi="宋体" w:cs="宋体"/>
                <w:sz w:val="24"/>
              </w:rPr>
              <w:t>2</w:t>
            </w:r>
            <w:r>
              <w:rPr>
                <w:rFonts w:ascii="宋体" w:hAnsi="宋体" w:cs="宋体"/>
                <w:sz w:val="24"/>
              </w:rPr>
              <w:t>.评标价平均值计算</w:t>
            </w:r>
          </w:p>
          <w:p>
            <w:pPr>
              <w:widowControl/>
              <w:spacing w:line="360" w:lineRule="auto"/>
              <w:jc w:val="left"/>
              <w:rPr>
                <w:rFonts w:ascii="宋体" w:hAnsi="宋体" w:cs="宋体"/>
                <w:sz w:val="24"/>
              </w:rPr>
            </w:pPr>
            <w:r>
              <w:rPr>
                <w:rFonts w:ascii="宋体" w:hAnsi="宋体" w:cs="宋体"/>
                <w:sz w:val="24"/>
              </w:rPr>
              <w:t>2.1当通过报价文件初步评审的投标人数量≤5家时，取通过报价文件初步评审且商务及技术文件得分大于等于招标项目</w:t>
            </w:r>
            <w:r>
              <w:rPr>
                <w:rFonts w:hint="eastAsia" w:ascii="宋体" w:hAnsi="宋体" w:cs="宋体"/>
                <w:sz w:val="24"/>
              </w:rPr>
              <w:t>标段</w:t>
            </w:r>
            <w:r>
              <w:rPr>
                <w:rFonts w:ascii="宋体" w:hAnsi="宋体" w:cs="宋体"/>
                <w:sz w:val="24"/>
              </w:rPr>
              <w:t>商务及技术文件总分*60%的投标人评标价进行算术平均得出评标价平均值。（如通过报价文件初步评审且商务及技术文件得分大于等于招标项目标段商务及技术文件总分*60%的投标人为1家时，则该投标人评标价即为评标价平均值）</w:t>
            </w:r>
          </w:p>
          <w:p>
            <w:pPr>
              <w:widowControl/>
              <w:spacing w:line="360" w:lineRule="auto"/>
              <w:jc w:val="left"/>
              <w:rPr>
                <w:rFonts w:ascii="宋体" w:hAnsi="宋体" w:cs="宋体"/>
                <w:sz w:val="24"/>
              </w:rPr>
            </w:pPr>
            <w:r>
              <w:rPr>
                <w:rFonts w:ascii="宋体" w:hAnsi="宋体" w:cs="宋体"/>
                <w:sz w:val="24"/>
              </w:rPr>
              <w:t>注：如出现无法计算评标价平均值的情况，评标委员会将否决所有投标。</w:t>
            </w:r>
          </w:p>
          <w:p>
            <w:pPr>
              <w:widowControl/>
              <w:spacing w:line="360" w:lineRule="auto"/>
              <w:jc w:val="left"/>
              <w:rPr>
                <w:rFonts w:ascii="宋体" w:hAnsi="宋体" w:cs="宋体"/>
                <w:sz w:val="24"/>
              </w:rPr>
            </w:pPr>
            <w:r>
              <w:rPr>
                <w:rFonts w:ascii="宋体" w:hAnsi="宋体" w:cs="宋体"/>
                <w:sz w:val="24"/>
              </w:rPr>
              <w:t>2.2当通过报价文件初步评审的投标人数量＞5家时：</w:t>
            </w:r>
          </w:p>
          <w:p>
            <w:pPr>
              <w:widowControl/>
              <w:spacing w:line="360" w:lineRule="auto"/>
              <w:jc w:val="left"/>
              <w:rPr>
                <w:rFonts w:ascii="宋体" w:hAnsi="宋体" w:cs="宋体"/>
                <w:sz w:val="24"/>
              </w:rPr>
            </w:pPr>
            <w:r>
              <w:rPr>
                <w:rFonts w:hint="eastAsia" w:ascii="宋体" w:hAnsi="宋体" w:cs="宋体"/>
                <w:sz w:val="24"/>
              </w:rPr>
              <w:t>①</w:t>
            </w:r>
            <w:r>
              <w:rPr>
                <w:rFonts w:ascii="宋体" w:hAnsi="宋体" w:cs="宋体"/>
                <w:sz w:val="24"/>
              </w:rPr>
              <w:t>其中通过报价文件初步评审且商务及技术文件得分大于等于招标项目标段商务及技术文件总分*70%的投标人数量＞5家，取通过报价文件初步评审且商务及技术文件得分大于等于招标项目标段商务及技术文件总分*70%的投标人评标价进行算术平均得出评标价平均值。</w:t>
            </w:r>
          </w:p>
          <w:p>
            <w:pPr>
              <w:widowControl/>
              <w:spacing w:line="360" w:lineRule="auto"/>
              <w:jc w:val="left"/>
              <w:rPr>
                <w:rFonts w:ascii="宋体" w:hAnsi="宋体" w:cs="宋体"/>
                <w:sz w:val="24"/>
              </w:rPr>
            </w:pPr>
            <w:r>
              <w:rPr>
                <w:rFonts w:hint="eastAsia" w:ascii="宋体" w:hAnsi="宋体" w:cs="宋体"/>
                <w:sz w:val="24"/>
              </w:rPr>
              <w:t>②</w:t>
            </w:r>
            <w:r>
              <w:rPr>
                <w:rFonts w:ascii="宋体" w:hAnsi="宋体" w:cs="宋体"/>
                <w:sz w:val="24"/>
              </w:rPr>
              <w:t>其中通过报价文件初步评审且商务及技术文件得分大于等于招标项目标段商务及技术文件总分*70%的投标人数量≤5家时，取通过报价文件初步评审且商务及技术文件得分大于等于招标项目标段商务及技术文件总分*60%的投标人评标价进行算术平均得出评标价平均值。（如通过报价文件初步评审且商务及技术文件得分大于等于招标项目标段商务及技术文件总分*60%的投标人为1家时，则该投标人评标价即为评标价平均值）</w:t>
            </w:r>
          </w:p>
          <w:p>
            <w:pPr>
              <w:widowControl/>
              <w:spacing w:line="360" w:lineRule="auto"/>
              <w:jc w:val="left"/>
              <w:rPr>
                <w:rFonts w:ascii="宋体" w:hAnsi="宋体" w:cs="宋体"/>
                <w:sz w:val="24"/>
              </w:rPr>
            </w:pPr>
            <w:r>
              <w:rPr>
                <w:rFonts w:ascii="宋体" w:hAnsi="宋体" w:cs="宋体"/>
                <w:sz w:val="24"/>
              </w:rPr>
              <w:t>注：如出现无法计算评标价平均值的情况，评标委员会将否决所有投标。</w:t>
            </w:r>
          </w:p>
          <w:p>
            <w:pPr>
              <w:widowControl/>
              <w:spacing w:line="360" w:lineRule="auto"/>
              <w:jc w:val="left"/>
              <w:rPr>
                <w:rFonts w:ascii="宋体" w:hAnsi="宋体" w:cs="宋体"/>
                <w:sz w:val="24"/>
              </w:rPr>
            </w:pPr>
            <w:r>
              <w:rPr>
                <w:rFonts w:ascii="宋体" w:hAnsi="宋体" w:cs="宋体"/>
                <w:sz w:val="24"/>
              </w:rPr>
              <w:t>3.确定评标基准价</w:t>
            </w:r>
          </w:p>
          <w:p>
            <w:pPr>
              <w:widowControl/>
              <w:spacing w:line="360" w:lineRule="auto"/>
              <w:jc w:val="left"/>
              <w:rPr>
                <w:rFonts w:ascii="宋体" w:hAnsi="宋体" w:cs="宋体"/>
                <w:sz w:val="24"/>
              </w:rPr>
            </w:pPr>
            <w:r>
              <w:rPr>
                <w:rFonts w:ascii="宋体" w:hAnsi="宋体" w:cs="宋体"/>
                <w:sz w:val="24"/>
              </w:rPr>
              <w:t>评标基准价=评标价平均值*C值</w:t>
            </w:r>
          </w:p>
          <w:p>
            <w:pPr>
              <w:widowControl/>
              <w:spacing w:line="360" w:lineRule="auto"/>
              <w:jc w:val="left"/>
              <w:rPr>
                <w:rFonts w:ascii="宋体" w:hAnsi="宋体" w:cs="宋体"/>
                <w:sz w:val="24"/>
              </w:rPr>
            </w:pPr>
            <w:r>
              <w:rPr>
                <w:rFonts w:ascii="宋体" w:hAnsi="宋体" w:cs="宋体"/>
                <w:sz w:val="24"/>
              </w:rPr>
              <w:t>C值确定如下：</w:t>
            </w:r>
          </w:p>
          <w:p>
            <w:pPr>
              <w:widowControl/>
              <w:spacing w:line="360" w:lineRule="auto"/>
              <w:jc w:val="left"/>
              <w:rPr>
                <w:rFonts w:ascii="宋体" w:hAnsi="宋体" w:cs="宋体"/>
                <w:sz w:val="24"/>
              </w:rPr>
            </w:pPr>
            <w:r>
              <w:rPr>
                <w:rFonts w:ascii="宋体" w:hAnsi="宋体" w:cs="宋体"/>
                <w:sz w:val="24"/>
              </w:rPr>
              <w:t>将在投标截止时间后系统成功接收投标文件的投标人总数（无论是否成功解密）除以5，根据余数对应取C值，见下表（多标段按各自标段在投标截止时间后系统成功接收投标文件的投标人总数（无论是否成功解密）计算选取）</w:t>
            </w:r>
          </w:p>
          <w:tbl>
            <w:tblPr>
              <w:tblStyle w:val="50"/>
              <w:tblpPr w:leftFromText="180" w:rightFromText="180" w:vertAnchor="text" w:horzAnchor="margin" w:tblpY="198"/>
              <w:tblOverlap w:val="never"/>
              <w:tblW w:w="48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3"/>
              <w:gridCol w:w="3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2002" w:type="pct"/>
                  <w:tcBorders>
                    <w:top w:val="single" w:color="000000" w:sz="4" w:space="0"/>
                    <w:left w:val="single" w:color="000000" w:sz="4" w:space="0"/>
                    <w:bottom w:val="single" w:color="000000" w:sz="4" w:space="0"/>
                    <w:right w:val="single" w:color="000000" w:sz="4" w:space="0"/>
                    <w:tl2br w:val="single" w:color="auto" w:sz="4" w:space="0"/>
                  </w:tcBorders>
                  <w:vAlign w:val="center"/>
                </w:tcPr>
                <w:p>
                  <w:pPr>
                    <w:spacing w:line="360" w:lineRule="auto"/>
                    <w:ind w:firstLine="720" w:firstLineChars="300"/>
                    <w:jc w:val="left"/>
                    <w:rPr>
                      <w:rFonts w:ascii="宋体" w:hAnsi="宋体" w:cs="宋体"/>
                      <w:sz w:val="24"/>
                    </w:rPr>
                  </w:pPr>
                  <w:r>
                    <w:rPr>
                      <w:rFonts w:hint="eastAsia" w:ascii="宋体" w:hAnsi="宋体" w:cs="宋体"/>
                      <w:sz w:val="24"/>
                    </w:rPr>
                    <w:t>对应的C值</w:t>
                  </w:r>
                </w:p>
                <w:p>
                  <w:pPr>
                    <w:spacing w:line="360" w:lineRule="auto"/>
                    <w:ind w:firstLine="480" w:firstLineChars="200"/>
                    <w:jc w:val="left"/>
                    <w:rPr>
                      <w:rFonts w:ascii="宋体" w:hAnsi="宋体" w:cs="宋体"/>
                      <w:sz w:val="24"/>
                    </w:rPr>
                  </w:pPr>
                  <w:r>
                    <w:rPr>
                      <w:rFonts w:hint="eastAsia" w:ascii="宋体" w:hAnsi="宋体" w:cs="宋体"/>
                      <w:sz w:val="24"/>
                    </w:rPr>
                    <w:t>余数</w:t>
                  </w:r>
                </w:p>
              </w:tc>
              <w:tc>
                <w:tcPr>
                  <w:tcW w:w="2997" w:type="pct"/>
                  <w:tcBorders>
                    <w:top w:val="single" w:color="000000" w:sz="4" w:space="0"/>
                    <w:left w:val="single" w:color="auto" w:sz="4" w:space="0"/>
                    <w:bottom w:val="single" w:color="000000" w:sz="4" w:space="0"/>
                    <w:right w:val="single" w:color="000000" w:sz="4" w:space="0"/>
                  </w:tcBorders>
                  <w:vAlign w:val="center"/>
                </w:tcPr>
                <w:p>
                  <w:pPr>
                    <w:spacing w:line="360" w:lineRule="auto"/>
                    <w:ind w:firstLine="480" w:firstLineChars="200"/>
                    <w:jc w:val="center"/>
                    <w:rPr>
                      <w:rFonts w:ascii="宋体" w:hAnsi="宋体" w:cs="宋体"/>
                      <w:sz w:val="24"/>
                    </w:rPr>
                  </w:pPr>
                  <w:r>
                    <w:rPr>
                      <w:rFonts w:hint="eastAsia" w:ascii="宋体" w:hAnsi="宋体" w:cs="宋体"/>
                      <w:sz w:val="24"/>
                    </w:rPr>
                    <w:t>C值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200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宋体" w:hAnsi="宋体" w:cs="宋体"/>
                      <w:sz w:val="24"/>
                    </w:rPr>
                  </w:pPr>
                  <w:r>
                    <w:rPr>
                      <w:rFonts w:hint="eastAsia" w:ascii="宋体" w:hAnsi="宋体" w:cs="宋体"/>
                      <w:sz w:val="24"/>
                    </w:rPr>
                    <w:t>0</w:t>
                  </w:r>
                </w:p>
              </w:tc>
              <w:tc>
                <w:tcPr>
                  <w:tcW w:w="2997" w:type="pct"/>
                  <w:tcBorders>
                    <w:top w:val="single" w:color="000000" w:sz="4" w:space="0"/>
                    <w:left w:val="single" w:color="auto" w:sz="4" w:space="0"/>
                    <w:bottom w:val="single" w:color="000000" w:sz="4" w:space="0"/>
                    <w:right w:val="single" w:color="000000" w:sz="4" w:space="0"/>
                  </w:tcBorders>
                  <w:vAlign w:val="center"/>
                </w:tcPr>
                <w:p>
                  <w:pPr>
                    <w:spacing w:line="360" w:lineRule="auto"/>
                    <w:ind w:firstLine="480" w:firstLineChars="200"/>
                    <w:jc w:val="center"/>
                    <w:rPr>
                      <w:rFonts w:ascii="宋体" w:hAnsi="宋体" w:cs="宋体"/>
                      <w:sz w:val="24"/>
                    </w:rPr>
                  </w:pPr>
                  <w:r>
                    <w:rPr>
                      <w:rFonts w:hint="eastAsia" w:ascii="宋体" w:hAnsi="宋体" w:cs="宋体"/>
                      <w:sz w:val="24"/>
                    </w:rPr>
                    <w:t>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0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宋体" w:hAnsi="宋体" w:cs="宋体"/>
                      <w:sz w:val="24"/>
                    </w:rPr>
                  </w:pPr>
                  <w:r>
                    <w:rPr>
                      <w:rFonts w:hint="eastAsia" w:ascii="宋体" w:hAnsi="宋体" w:cs="宋体"/>
                      <w:sz w:val="24"/>
                    </w:rPr>
                    <w:t>1</w:t>
                  </w:r>
                </w:p>
              </w:tc>
              <w:tc>
                <w:tcPr>
                  <w:tcW w:w="2997" w:type="pct"/>
                  <w:tcBorders>
                    <w:top w:val="single" w:color="000000" w:sz="4" w:space="0"/>
                    <w:left w:val="single" w:color="auto" w:sz="4" w:space="0"/>
                    <w:bottom w:val="single" w:color="000000" w:sz="4" w:space="0"/>
                    <w:right w:val="single" w:color="000000" w:sz="4" w:space="0"/>
                  </w:tcBorders>
                  <w:vAlign w:val="center"/>
                </w:tcPr>
                <w:p>
                  <w:pPr>
                    <w:spacing w:line="360" w:lineRule="auto"/>
                    <w:ind w:firstLine="480" w:firstLineChars="200"/>
                    <w:jc w:val="center"/>
                    <w:rPr>
                      <w:rFonts w:ascii="宋体" w:hAnsi="宋体" w:cs="宋体"/>
                      <w:sz w:val="24"/>
                    </w:rPr>
                  </w:pPr>
                  <w:r>
                    <w:rPr>
                      <w:rFonts w:hint="eastAsia" w:ascii="宋体" w:hAnsi="宋体" w:cs="宋体"/>
                      <w:sz w:val="24"/>
                    </w:rPr>
                    <w:t>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0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宋体" w:hAnsi="宋体" w:cs="宋体"/>
                      <w:sz w:val="24"/>
                    </w:rPr>
                  </w:pPr>
                  <w:r>
                    <w:rPr>
                      <w:rFonts w:hint="eastAsia" w:ascii="宋体" w:hAnsi="宋体" w:cs="宋体"/>
                      <w:sz w:val="24"/>
                    </w:rPr>
                    <w:t>2</w:t>
                  </w:r>
                </w:p>
              </w:tc>
              <w:tc>
                <w:tcPr>
                  <w:tcW w:w="2997" w:type="pct"/>
                  <w:tcBorders>
                    <w:top w:val="single" w:color="000000" w:sz="4" w:space="0"/>
                    <w:left w:val="single" w:color="auto" w:sz="4" w:space="0"/>
                    <w:bottom w:val="single" w:color="000000" w:sz="4" w:space="0"/>
                    <w:right w:val="single" w:color="000000" w:sz="4" w:space="0"/>
                  </w:tcBorders>
                  <w:vAlign w:val="center"/>
                </w:tcPr>
                <w:p>
                  <w:pPr>
                    <w:spacing w:line="360" w:lineRule="auto"/>
                    <w:ind w:firstLine="480" w:firstLineChars="200"/>
                    <w:jc w:val="center"/>
                    <w:rPr>
                      <w:rFonts w:ascii="宋体" w:hAnsi="宋体" w:cs="宋体"/>
                      <w:sz w:val="24"/>
                    </w:rPr>
                  </w:pPr>
                  <w:r>
                    <w:rPr>
                      <w:rFonts w:hint="eastAsia" w:ascii="宋体" w:hAnsi="宋体" w:cs="宋体"/>
                      <w:sz w:val="24"/>
                    </w:rPr>
                    <w:t>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0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宋体" w:hAnsi="宋体" w:cs="宋体"/>
                      <w:sz w:val="24"/>
                    </w:rPr>
                  </w:pPr>
                  <w:r>
                    <w:rPr>
                      <w:rFonts w:hint="eastAsia" w:ascii="宋体" w:hAnsi="宋体" w:cs="宋体"/>
                      <w:sz w:val="24"/>
                    </w:rPr>
                    <w:t>3</w:t>
                  </w:r>
                </w:p>
              </w:tc>
              <w:tc>
                <w:tcPr>
                  <w:tcW w:w="2997" w:type="pct"/>
                  <w:tcBorders>
                    <w:top w:val="single" w:color="000000" w:sz="4" w:space="0"/>
                    <w:left w:val="single" w:color="auto" w:sz="4" w:space="0"/>
                    <w:bottom w:val="single" w:color="000000" w:sz="4" w:space="0"/>
                    <w:right w:val="single" w:color="000000" w:sz="4" w:space="0"/>
                  </w:tcBorders>
                  <w:vAlign w:val="center"/>
                </w:tcPr>
                <w:p>
                  <w:pPr>
                    <w:spacing w:line="360" w:lineRule="auto"/>
                    <w:ind w:firstLine="480" w:firstLineChars="200"/>
                    <w:jc w:val="center"/>
                    <w:rPr>
                      <w:rFonts w:ascii="宋体" w:hAnsi="宋体" w:cs="宋体"/>
                      <w:sz w:val="24"/>
                    </w:rPr>
                  </w:pPr>
                  <w:r>
                    <w:rPr>
                      <w:rFonts w:hint="eastAsia" w:ascii="宋体" w:hAnsi="宋体" w:cs="宋体"/>
                      <w:sz w:val="24"/>
                    </w:rPr>
                    <w:t>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02" w:type="pct"/>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宋体" w:hAnsi="宋体" w:cs="宋体"/>
                      <w:sz w:val="24"/>
                    </w:rPr>
                  </w:pPr>
                  <w:r>
                    <w:rPr>
                      <w:rFonts w:hint="eastAsia" w:ascii="宋体" w:hAnsi="宋体" w:cs="宋体"/>
                      <w:sz w:val="24"/>
                    </w:rPr>
                    <w:t>4</w:t>
                  </w:r>
                </w:p>
              </w:tc>
              <w:tc>
                <w:tcPr>
                  <w:tcW w:w="2997" w:type="pct"/>
                  <w:tcBorders>
                    <w:top w:val="single" w:color="000000" w:sz="4" w:space="0"/>
                    <w:left w:val="single" w:color="auto" w:sz="4" w:space="0"/>
                    <w:bottom w:val="single" w:color="000000" w:sz="4" w:space="0"/>
                    <w:right w:val="single" w:color="000000" w:sz="4" w:space="0"/>
                  </w:tcBorders>
                  <w:vAlign w:val="center"/>
                </w:tcPr>
                <w:p>
                  <w:pPr>
                    <w:spacing w:line="360" w:lineRule="auto"/>
                    <w:ind w:firstLine="480" w:firstLineChars="200"/>
                    <w:jc w:val="center"/>
                    <w:rPr>
                      <w:rFonts w:ascii="宋体" w:hAnsi="宋体" w:cs="宋体"/>
                      <w:sz w:val="24"/>
                    </w:rPr>
                  </w:pPr>
                  <w:r>
                    <w:rPr>
                      <w:rFonts w:hint="eastAsia" w:ascii="宋体" w:hAnsi="宋体" w:cs="宋体"/>
                      <w:sz w:val="24"/>
                    </w:rPr>
                    <w:t>0.99</w:t>
                  </w:r>
                </w:p>
              </w:tc>
            </w:tr>
          </w:tbl>
          <w:p>
            <w:pPr>
              <w:widowControl/>
              <w:spacing w:line="360" w:lineRule="auto"/>
              <w:jc w:val="left"/>
              <w:rPr>
                <w:rFonts w:ascii="宋体" w:hAnsi="宋体" w:cs="宋体"/>
                <w:sz w:val="24"/>
              </w:rPr>
            </w:pPr>
            <w:r>
              <w:rPr>
                <w:rFonts w:ascii="宋体" w:hAnsi="宋体" w:cs="宋体"/>
                <w:sz w:val="24"/>
              </w:rPr>
              <w:t>在评标过程中，评标委员会应对评标基准价进行复核，存在计算错误的应予以修正并在评标报告中作出说明。除此之外，评标基准价在整个评标期间保持不变，不随任何因素发生变化。</w:t>
            </w:r>
          </w:p>
          <w:p>
            <w:pPr>
              <w:spacing w:line="360" w:lineRule="auto"/>
              <w:jc w:val="left"/>
              <w:rPr>
                <w:rFonts w:ascii="宋体" w:hAnsi="宋体" w:cs="宋体"/>
                <w:sz w:val="24"/>
              </w:rPr>
            </w:pPr>
            <w:r>
              <w:rPr>
                <w:rFonts w:hint="eastAsia" w:ascii="宋体" w:hAnsi="宋体" w:cs="宋体"/>
                <w:sz w:val="24"/>
              </w:rPr>
              <w:t>4</w:t>
            </w:r>
            <w:r>
              <w:rPr>
                <w:rFonts w:ascii="宋体" w:hAnsi="宋体" w:cs="宋体"/>
                <w:sz w:val="24"/>
              </w:rPr>
              <w:t>.评标价的偏差率计算</w:t>
            </w:r>
          </w:p>
          <w:p>
            <w:pPr>
              <w:spacing w:line="360" w:lineRule="auto"/>
              <w:jc w:val="left"/>
              <w:rPr>
                <w:rFonts w:ascii="宋体" w:hAnsi="宋体" w:cs="宋体"/>
                <w:sz w:val="24"/>
              </w:rPr>
            </w:pPr>
            <w:r>
              <w:rPr>
                <w:rFonts w:ascii="宋体" w:hAnsi="宋体" w:cs="宋体"/>
                <w:sz w:val="24"/>
              </w:rPr>
              <w:t>偏差率=100%×（投标人评标价-评标基准价）/评标基准价</w:t>
            </w:r>
          </w:p>
          <w:p>
            <w:pPr>
              <w:spacing w:line="360" w:lineRule="auto"/>
              <w:jc w:val="left"/>
              <w:rPr>
                <w:rFonts w:ascii="宋体" w:hAnsi="宋体" w:cs="宋体"/>
                <w:sz w:val="24"/>
              </w:rPr>
            </w:pPr>
            <w:r>
              <w:rPr>
                <w:rFonts w:ascii="宋体" w:hAnsi="宋体" w:cs="宋体"/>
                <w:sz w:val="24"/>
              </w:rPr>
              <w:t>偏差率保留两位小数（小数点后第三位“四舍五入”），即为*.**%。</w:t>
            </w:r>
          </w:p>
          <w:p>
            <w:pPr>
              <w:spacing w:line="360" w:lineRule="auto"/>
              <w:jc w:val="left"/>
              <w:rPr>
                <w:rFonts w:ascii="宋体" w:hAnsi="宋体" w:cs="宋体"/>
                <w:sz w:val="24"/>
              </w:rPr>
            </w:pPr>
            <w:r>
              <w:rPr>
                <w:rFonts w:hint="eastAsia" w:ascii="宋体" w:hAnsi="宋体" w:cs="宋体"/>
                <w:sz w:val="24"/>
              </w:rPr>
              <w:t>5</w:t>
            </w:r>
            <w:r>
              <w:rPr>
                <w:rFonts w:ascii="宋体" w:hAnsi="宋体" w:cs="宋体"/>
                <w:sz w:val="24"/>
              </w:rPr>
              <w:t>.评标价得分计算</w:t>
            </w:r>
          </w:p>
          <w:p>
            <w:pPr>
              <w:spacing w:line="360" w:lineRule="auto"/>
              <w:jc w:val="left"/>
              <w:rPr>
                <w:rFonts w:ascii="宋体" w:hAnsi="宋体" w:cs="宋体"/>
                <w:sz w:val="24"/>
              </w:rPr>
            </w:pPr>
            <w:r>
              <w:rPr>
                <w:rFonts w:ascii="宋体" w:hAnsi="宋体" w:cs="宋体"/>
                <w:sz w:val="24"/>
              </w:rPr>
              <w:t>5.1当投标人评标价＞评标基准价，评标价得分=F-偏差率*100*E1</w:t>
            </w:r>
          </w:p>
          <w:p>
            <w:pPr>
              <w:spacing w:line="360" w:lineRule="auto"/>
              <w:jc w:val="left"/>
              <w:rPr>
                <w:rFonts w:ascii="宋体" w:hAnsi="宋体" w:cs="宋体"/>
                <w:sz w:val="24"/>
              </w:rPr>
            </w:pPr>
            <w:r>
              <w:rPr>
                <w:rFonts w:ascii="宋体" w:hAnsi="宋体" w:cs="宋体"/>
                <w:sz w:val="24"/>
              </w:rPr>
              <w:t>5.2当投标人评标价≤评标基准价，评标价得分=F+偏差率*100*E2</w:t>
            </w:r>
          </w:p>
          <w:p>
            <w:pPr>
              <w:widowControl/>
              <w:spacing w:line="360" w:lineRule="auto"/>
              <w:jc w:val="left"/>
              <w:rPr>
                <w:rFonts w:ascii="宋体" w:hAnsi="宋体" w:cs="宋体"/>
                <w:sz w:val="24"/>
              </w:rPr>
            </w:pPr>
            <w:r>
              <w:rPr>
                <w:rFonts w:ascii="宋体" w:hAnsi="宋体" w:cs="宋体"/>
                <w:sz w:val="24"/>
              </w:rPr>
              <w:t>本招标项目E1=0.5；E2=0.3</w:t>
            </w:r>
          </w:p>
          <w:p>
            <w:pPr>
              <w:spacing w:line="360" w:lineRule="auto"/>
              <w:jc w:val="left"/>
              <w:rPr>
                <w:rFonts w:ascii="宋体" w:hAnsi="宋体" w:cs="宋体"/>
                <w:sz w:val="24"/>
              </w:rPr>
            </w:pPr>
            <w:r>
              <w:rPr>
                <w:rFonts w:ascii="宋体" w:hAnsi="宋体" w:cs="宋体"/>
                <w:sz w:val="24"/>
              </w:rPr>
              <w:t>其中：F是评标价所占的权重分值。E1是评标价每高于评标基准价一个百分点的扣分值，E2是评标价每低于评标基准价一个百分点的扣分值。</w:t>
            </w:r>
          </w:p>
          <w:p>
            <w:pPr>
              <w:spacing w:line="360" w:lineRule="auto"/>
              <w:jc w:val="left"/>
              <w:rPr>
                <w:rFonts w:ascii="宋体" w:hAnsi="宋体" w:cs="宋体"/>
                <w:sz w:val="24"/>
              </w:rPr>
            </w:pPr>
            <w:r>
              <w:rPr>
                <w:rFonts w:ascii="宋体" w:hAnsi="宋体" w:cs="宋体"/>
                <w:sz w:val="24"/>
              </w:rPr>
              <w:t>当评标价得分为负时，均按0分计算。评标价得分保留小数点后两位，小数点后三位“四舍五入”。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000" w:type="pct"/>
            <w:gridSpan w:val="4"/>
            <w:tcBorders>
              <w:top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rPr>
            </w:pPr>
            <w:r>
              <w:rPr>
                <w:rFonts w:hint="eastAsia" w:ascii="宋体" w:hAnsi="宋体" w:cs="宋体"/>
                <w:sz w:val="24"/>
              </w:rPr>
              <w:t>（1）公共建筑项目：是指办公建筑（包括写字楼、政府部门办公大楼等），商业建筑（如商场、金融建筑等），旅游建筑（如酒店、娱乐场所等），科教文卫建筑（包括文化、教育、科研、医疗、卫生、体育建筑等），通信建筑（如邮电、通讯、广播用房）、交通运输类建筑（如机场、高铁站、火车站、汽车站、冷藏库等）以及其他（派出所、仓库、拘留所）等。</w:t>
            </w:r>
          </w:p>
          <w:p>
            <w:pPr>
              <w:widowControl/>
              <w:spacing w:line="360" w:lineRule="auto"/>
              <w:jc w:val="left"/>
              <w:rPr>
                <w:rFonts w:ascii="宋体" w:hAnsi="宋体" w:cs="宋体"/>
                <w:sz w:val="24"/>
              </w:rPr>
            </w:pPr>
            <w:r>
              <w:rPr>
                <w:rFonts w:hint="eastAsia" w:ascii="宋体" w:hAnsi="宋体" w:cs="宋体"/>
                <w:sz w:val="24"/>
              </w:rPr>
              <w:t>（2）招标文件中项目负责人即设计项目负责人。</w:t>
            </w:r>
          </w:p>
        </w:tc>
      </w:tr>
    </w:tbl>
    <w:p>
      <w:pPr>
        <w:snapToGrid w:val="0"/>
        <w:ind w:firstLine="480" w:firstLineChars="200"/>
        <w:jc w:val="left"/>
        <w:rPr>
          <w:rFonts w:hAnsi="宋体"/>
          <w:sz w:val="24"/>
          <w:szCs w:val="28"/>
        </w:rPr>
      </w:pPr>
    </w:p>
    <w:sectPr>
      <w:headerReference r:id="rId5" w:type="default"/>
      <w:footerReference r:id="rId6" w:type="default"/>
      <w:footerReference r:id="rId7" w:type="even"/>
      <w:pgSz w:w="11907" w:h="16840"/>
      <w:pgMar w:top="1440" w:right="1247" w:bottom="1440" w:left="1247" w:header="851" w:footer="992" w:gutter="0"/>
      <w:cols w:space="720" w:num="1"/>
      <w:docGrid w:linePitch="303"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23 1" w:date="2024-01-03T21:50:00Z" w:initials="21">
    <w:p w14:paraId="4F3E6898">
      <w:pPr>
        <w:pStyle w:val="19"/>
      </w:pPr>
      <w:r>
        <w:rPr>
          <w:rFonts w:hint="eastAsia"/>
        </w:rPr>
        <w:t>此处为关于与分包商对接问题的内容</w:t>
      </w:r>
    </w:p>
  </w:comment>
  <w:comment w:id="1" w:author="23 1" w:date="2024-01-03T21:51:00Z" w:initials="21">
    <w:p w14:paraId="72AE1E3A">
      <w:pPr>
        <w:pStyle w:val="19"/>
      </w:pPr>
      <w:r>
        <w:rPr>
          <w:rFonts w:hint="eastAsia"/>
        </w:rPr>
        <w:t>深度为新增内容。按会上说的要求施工图深度要求增加的。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F3E6898" w15:done="0"/>
  <w15:commentEx w15:paraId="72AE1E3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DDA4F7-DCE3-483E-9D42-722F83D261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onospace">
    <w:altName w:val="宋体"/>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方正小标宋简体">
    <w:panose1 w:val="02000000000000000000"/>
    <w:charset w:val="86"/>
    <w:family w:val="auto"/>
    <w:pitch w:val="default"/>
    <w:sig w:usb0="00000001" w:usb1="08000000" w:usb2="00000000" w:usb3="00000000" w:csb0="00040000" w:csb1="00000000"/>
    <w:embedRegular r:id="rId2" w:fontKey="{8F8843FA-5EA1-457A-A817-15B8AFBA5824}"/>
  </w:font>
  <w:font w:name="仿宋">
    <w:panose1 w:val="02010609060101010101"/>
    <w:charset w:val="86"/>
    <w:family w:val="modern"/>
    <w:pitch w:val="default"/>
    <w:sig w:usb0="800002BF" w:usb1="38CF7CFA" w:usb2="00000016" w:usb3="00000000" w:csb0="00040001" w:csb1="00000000"/>
    <w:embedRegular r:id="rId3" w:fontKey="{16E1BA3F-80F2-4A1B-AC0F-12077D795391}"/>
  </w:font>
  <w:font w:name="Leelawadee UI">
    <w:panose1 w:val="020B0502040204020203"/>
    <w:charset w:val="00"/>
    <w:family w:val="swiss"/>
    <w:pitch w:val="default"/>
    <w:sig w:usb0="83000003" w:usb1="00000000" w:usb2="00010000" w:usb3="00000001" w:csb0="00010101" w:csb1="00000000"/>
    <w:embedRegular r:id="rId4" w:fontKey="{B056D733-3C4D-4ACA-BDE8-78FF7317DB1B}"/>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14</w:t>
    </w:r>
    <w:r>
      <w:rPr>
        <w:rStyle w:val="54"/>
      </w:rP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4"/>
      </w:rPr>
    </w:pPr>
    <w:r>
      <w:rPr>
        <w:rStyle w:val="54"/>
      </w:rPr>
      <w:fldChar w:fldCharType="begin"/>
    </w:r>
    <w:r>
      <w:rPr>
        <w:rStyle w:val="54"/>
      </w:rPr>
      <w:instrText xml:space="preserve">PAGE  </w:instrText>
    </w:r>
    <w:r>
      <w:rPr>
        <w:rStyle w:val="54"/>
      </w:rPr>
      <w:fldChar w:fldCharType="end"/>
    </w:r>
  </w:p>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jc w:val="lef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3 1">
    <w15:presenceInfo w15:providerId="Windows Live" w15:userId="74b11495a04c9b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3NzVmNzFmYTU4Njc0NmE0MzE5MDE2ZmYzM2UxOTMifQ=="/>
  </w:docVars>
  <w:rsids>
    <w:rsidRoot w:val="00172A27"/>
    <w:rsid w:val="000047B9"/>
    <w:rsid w:val="000109CE"/>
    <w:rsid w:val="000139B5"/>
    <w:rsid w:val="00042F4A"/>
    <w:rsid w:val="00044243"/>
    <w:rsid w:val="00045B11"/>
    <w:rsid w:val="000538BF"/>
    <w:rsid w:val="00054159"/>
    <w:rsid w:val="0008680A"/>
    <w:rsid w:val="000A0101"/>
    <w:rsid w:val="000B214F"/>
    <w:rsid w:val="000B2D0F"/>
    <w:rsid w:val="000B6544"/>
    <w:rsid w:val="000E0BE2"/>
    <w:rsid w:val="000E1504"/>
    <w:rsid w:val="000E2ADD"/>
    <w:rsid w:val="000F5E57"/>
    <w:rsid w:val="00101786"/>
    <w:rsid w:val="00120603"/>
    <w:rsid w:val="001344F9"/>
    <w:rsid w:val="00144BD6"/>
    <w:rsid w:val="00163386"/>
    <w:rsid w:val="00170145"/>
    <w:rsid w:val="00172A27"/>
    <w:rsid w:val="00181704"/>
    <w:rsid w:val="0018295C"/>
    <w:rsid w:val="00186469"/>
    <w:rsid w:val="001C33BF"/>
    <w:rsid w:val="001C3A9C"/>
    <w:rsid w:val="001C3F1F"/>
    <w:rsid w:val="001D0F42"/>
    <w:rsid w:val="001D18D9"/>
    <w:rsid w:val="001D4814"/>
    <w:rsid w:val="001D67C5"/>
    <w:rsid w:val="001E7503"/>
    <w:rsid w:val="001F2204"/>
    <w:rsid w:val="001F6F46"/>
    <w:rsid w:val="00204B15"/>
    <w:rsid w:val="00220667"/>
    <w:rsid w:val="00225FFB"/>
    <w:rsid w:val="0022646F"/>
    <w:rsid w:val="0024662C"/>
    <w:rsid w:val="00247D75"/>
    <w:rsid w:val="0025702B"/>
    <w:rsid w:val="002640E0"/>
    <w:rsid w:val="002656E8"/>
    <w:rsid w:val="00266A41"/>
    <w:rsid w:val="00272961"/>
    <w:rsid w:val="00274C01"/>
    <w:rsid w:val="002758F9"/>
    <w:rsid w:val="002775C5"/>
    <w:rsid w:val="00292611"/>
    <w:rsid w:val="002C6A3C"/>
    <w:rsid w:val="002D782F"/>
    <w:rsid w:val="002E6B21"/>
    <w:rsid w:val="002F5E54"/>
    <w:rsid w:val="002F7131"/>
    <w:rsid w:val="0030134F"/>
    <w:rsid w:val="003104DA"/>
    <w:rsid w:val="00313920"/>
    <w:rsid w:val="00321ADC"/>
    <w:rsid w:val="0033733C"/>
    <w:rsid w:val="00340224"/>
    <w:rsid w:val="003512EB"/>
    <w:rsid w:val="00361262"/>
    <w:rsid w:val="00367CF6"/>
    <w:rsid w:val="00370B2B"/>
    <w:rsid w:val="00371A14"/>
    <w:rsid w:val="003946D1"/>
    <w:rsid w:val="003A74C8"/>
    <w:rsid w:val="003C264F"/>
    <w:rsid w:val="003D1B5D"/>
    <w:rsid w:val="003D366C"/>
    <w:rsid w:val="004144FB"/>
    <w:rsid w:val="004158D5"/>
    <w:rsid w:val="00426CE6"/>
    <w:rsid w:val="00430F2E"/>
    <w:rsid w:val="004E0BF9"/>
    <w:rsid w:val="004E5769"/>
    <w:rsid w:val="005078D1"/>
    <w:rsid w:val="00517EF2"/>
    <w:rsid w:val="00524098"/>
    <w:rsid w:val="0053521B"/>
    <w:rsid w:val="00542A28"/>
    <w:rsid w:val="00547F21"/>
    <w:rsid w:val="0055566A"/>
    <w:rsid w:val="00562A8B"/>
    <w:rsid w:val="00580AFD"/>
    <w:rsid w:val="00587E14"/>
    <w:rsid w:val="0059250C"/>
    <w:rsid w:val="005B6905"/>
    <w:rsid w:val="005C4493"/>
    <w:rsid w:val="005D4D73"/>
    <w:rsid w:val="005F0C38"/>
    <w:rsid w:val="005F6D62"/>
    <w:rsid w:val="005F7371"/>
    <w:rsid w:val="00606C47"/>
    <w:rsid w:val="006145C0"/>
    <w:rsid w:val="00615AA3"/>
    <w:rsid w:val="00644061"/>
    <w:rsid w:val="00644A36"/>
    <w:rsid w:val="00663E69"/>
    <w:rsid w:val="0068407C"/>
    <w:rsid w:val="00685962"/>
    <w:rsid w:val="00692D8E"/>
    <w:rsid w:val="006B00E5"/>
    <w:rsid w:val="006B0DED"/>
    <w:rsid w:val="006C6CDC"/>
    <w:rsid w:val="006E420E"/>
    <w:rsid w:val="006F1193"/>
    <w:rsid w:val="00702ECF"/>
    <w:rsid w:val="00730385"/>
    <w:rsid w:val="0075489A"/>
    <w:rsid w:val="00774BF1"/>
    <w:rsid w:val="0079297F"/>
    <w:rsid w:val="00794A7E"/>
    <w:rsid w:val="007A01C6"/>
    <w:rsid w:val="007A22B4"/>
    <w:rsid w:val="007B10A7"/>
    <w:rsid w:val="007B1BCC"/>
    <w:rsid w:val="007B4F57"/>
    <w:rsid w:val="007C388E"/>
    <w:rsid w:val="007D23F6"/>
    <w:rsid w:val="007D74E0"/>
    <w:rsid w:val="0082231E"/>
    <w:rsid w:val="00830E37"/>
    <w:rsid w:val="00831553"/>
    <w:rsid w:val="008441E7"/>
    <w:rsid w:val="00855098"/>
    <w:rsid w:val="008563B2"/>
    <w:rsid w:val="008660C8"/>
    <w:rsid w:val="00870F56"/>
    <w:rsid w:val="00875C52"/>
    <w:rsid w:val="008B26C9"/>
    <w:rsid w:val="008B292C"/>
    <w:rsid w:val="008C1E8D"/>
    <w:rsid w:val="008C5C7D"/>
    <w:rsid w:val="008D3188"/>
    <w:rsid w:val="008F7DA3"/>
    <w:rsid w:val="00901379"/>
    <w:rsid w:val="009021C3"/>
    <w:rsid w:val="00913E7A"/>
    <w:rsid w:val="009352CE"/>
    <w:rsid w:val="00942149"/>
    <w:rsid w:val="0094627C"/>
    <w:rsid w:val="009538B3"/>
    <w:rsid w:val="00954844"/>
    <w:rsid w:val="009866B8"/>
    <w:rsid w:val="00997B3E"/>
    <w:rsid w:val="009A5296"/>
    <w:rsid w:val="009A7C06"/>
    <w:rsid w:val="009B1E53"/>
    <w:rsid w:val="009B5B13"/>
    <w:rsid w:val="009B7877"/>
    <w:rsid w:val="009D2242"/>
    <w:rsid w:val="009D66FF"/>
    <w:rsid w:val="00A07F3F"/>
    <w:rsid w:val="00A12FA0"/>
    <w:rsid w:val="00A149CC"/>
    <w:rsid w:val="00A256B5"/>
    <w:rsid w:val="00A2764C"/>
    <w:rsid w:val="00A31111"/>
    <w:rsid w:val="00A41023"/>
    <w:rsid w:val="00A4310F"/>
    <w:rsid w:val="00A57903"/>
    <w:rsid w:val="00A6243C"/>
    <w:rsid w:val="00A73AC4"/>
    <w:rsid w:val="00A97441"/>
    <w:rsid w:val="00A97574"/>
    <w:rsid w:val="00AA5055"/>
    <w:rsid w:val="00AB3A74"/>
    <w:rsid w:val="00AB6295"/>
    <w:rsid w:val="00AC22B0"/>
    <w:rsid w:val="00AE2452"/>
    <w:rsid w:val="00AF7AE0"/>
    <w:rsid w:val="00B02BCD"/>
    <w:rsid w:val="00B039DA"/>
    <w:rsid w:val="00B07772"/>
    <w:rsid w:val="00B11CB4"/>
    <w:rsid w:val="00B51641"/>
    <w:rsid w:val="00B51B40"/>
    <w:rsid w:val="00B77337"/>
    <w:rsid w:val="00B83AD7"/>
    <w:rsid w:val="00B8433F"/>
    <w:rsid w:val="00B9145D"/>
    <w:rsid w:val="00B91664"/>
    <w:rsid w:val="00BA2805"/>
    <w:rsid w:val="00BA2EE6"/>
    <w:rsid w:val="00BC38EB"/>
    <w:rsid w:val="00BD4B82"/>
    <w:rsid w:val="00BD77F8"/>
    <w:rsid w:val="00BE22E6"/>
    <w:rsid w:val="00BE405B"/>
    <w:rsid w:val="00BF7AF2"/>
    <w:rsid w:val="00C27465"/>
    <w:rsid w:val="00C278EE"/>
    <w:rsid w:val="00C60C98"/>
    <w:rsid w:val="00C646BE"/>
    <w:rsid w:val="00C64C7A"/>
    <w:rsid w:val="00C97F32"/>
    <w:rsid w:val="00CA5213"/>
    <w:rsid w:val="00CB5003"/>
    <w:rsid w:val="00CB7D6B"/>
    <w:rsid w:val="00CE0B84"/>
    <w:rsid w:val="00D124BF"/>
    <w:rsid w:val="00D2041D"/>
    <w:rsid w:val="00D26AE9"/>
    <w:rsid w:val="00D40529"/>
    <w:rsid w:val="00D45715"/>
    <w:rsid w:val="00D47C9E"/>
    <w:rsid w:val="00D674AC"/>
    <w:rsid w:val="00D7400A"/>
    <w:rsid w:val="00D84EC0"/>
    <w:rsid w:val="00DB763A"/>
    <w:rsid w:val="00DC3769"/>
    <w:rsid w:val="00DC3E66"/>
    <w:rsid w:val="00DF1699"/>
    <w:rsid w:val="00E020E1"/>
    <w:rsid w:val="00E039F2"/>
    <w:rsid w:val="00E0623A"/>
    <w:rsid w:val="00E0682F"/>
    <w:rsid w:val="00E26534"/>
    <w:rsid w:val="00E33FF3"/>
    <w:rsid w:val="00E54731"/>
    <w:rsid w:val="00E66E81"/>
    <w:rsid w:val="00E70052"/>
    <w:rsid w:val="00E86F90"/>
    <w:rsid w:val="00E900A1"/>
    <w:rsid w:val="00E9398B"/>
    <w:rsid w:val="00E954E9"/>
    <w:rsid w:val="00EB22D6"/>
    <w:rsid w:val="00ED7FC5"/>
    <w:rsid w:val="00EF3E52"/>
    <w:rsid w:val="00F026EC"/>
    <w:rsid w:val="00F06DA0"/>
    <w:rsid w:val="00F073E5"/>
    <w:rsid w:val="00F34CBD"/>
    <w:rsid w:val="00F635AC"/>
    <w:rsid w:val="00F8138F"/>
    <w:rsid w:val="00F95201"/>
    <w:rsid w:val="00FA6F7E"/>
    <w:rsid w:val="00FE0FA1"/>
    <w:rsid w:val="00FF57F7"/>
    <w:rsid w:val="00FF58DA"/>
    <w:rsid w:val="05C43522"/>
    <w:rsid w:val="063B4CDB"/>
    <w:rsid w:val="0F0D1105"/>
    <w:rsid w:val="14760C3D"/>
    <w:rsid w:val="18ED129E"/>
    <w:rsid w:val="1F566F76"/>
    <w:rsid w:val="200D6D9D"/>
    <w:rsid w:val="206719DD"/>
    <w:rsid w:val="27B95057"/>
    <w:rsid w:val="2BFF6F58"/>
    <w:rsid w:val="2D8933E1"/>
    <w:rsid w:val="31F33239"/>
    <w:rsid w:val="324D50E3"/>
    <w:rsid w:val="3FB429FE"/>
    <w:rsid w:val="461A2CA8"/>
    <w:rsid w:val="467D7109"/>
    <w:rsid w:val="4DC11665"/>
    <w:rsid w:val="542C7806"/>
    <w:rsid w:val="56C41DD7"/>
    <w:rsid w:val="58B24661"/>
    <w:rsid w:val="59E73851"/>
    <w:rsid w:val="5D6E48CE"/>
    <w:rsid w:val="5F321939"/>
    <w:rsid w:val="68621B60"/>
    <w:rsid w:val="729D1A86"/>
    <w:rsid w:val="77DD5C77"/>
    <w:rsid w:val="78911F20"/>
    <w:rsid w:val="7FF92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qFormat/>
    <w:uiPriority w:val="0"/>
    <w:pPr>
      <w:keepNext/>
      <w:keepLines/>
      <w:spacing w:before="240" w:after="240" w:line="360" w:lineRule="auto"/>
      <w:outlineLvl w:val="0"/>
    </w:pPr>
    <w:rPr>
      <w:b/>
      <w:bCs/>
      <w:kern w:val="44"/>
      <w:sz w:val="44"/>
      <w:szCs w:val="44"/>
    </w:rPr>
  </w:style>
  <w:style w:type="paragraph" w:styleId="3">
    <w:name w:val="heading 2"/>
    <w:basedOn w:val="1"/>
    <w:next w:val="1"/>
    <w:link w:val="88"/>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8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12"/>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13"/>
    <w:qFormat/>
    <w:uiPriority w:val="0"/>
    <w:pPr>
      <w:keepNext/>
      <w:outlineLvl w:val="4"/>
    </w:pPr>
    <w:rPr>
      <w:rFonts w:ascii="宋体" w:hAnsi="Arial"/>
      <w:bCs/>
      <w:sz w:val="28"/>
      <w:szCs w:val="20"/>
    </w:rPr>
  </w:style>
  <w:style w:type="paragraph" w:styleId="7">
    <w:name w:val="heading 6"/>
    <w:basedOn w:val="1"/>
    <w:next w:val="1"/>
    <w:link w:val="114"/>
    <w:qFormat/>
    <w:uiPriority w:val="0"/>
    <w:pPr>
      <w:keepNext/>
      <w:autoSpaceDE w:val="0"/>
      <w:autoSpaceDN w:val="0"/>
      <w:adjustRightInd w:val="0"/>
      <w:spacing w:before="120" w:beforeLines="50" w:after="120" w:afterLines="50" w:line="300" w:lineRule="exact"/>
      <w:jc w:val="center"/>
      <w:outlineLvl w:val="5"/>
    </w:pPr>
    <w:rPr>
      <w:rFonts w:ascii="宋体" w:hAnsi="宋体"/>
      <w:kern w:val="0"/>
      <w:sz w:val="28"/>
      <w:szCs w:val="20"/>
    </w:rPr>
  </w:style>
  <w:style w:type="paragraph" w:styleId="8">
    <w:name w:val="heading 7"/>
    <w:basedOn w:val="1"/>
    <w:next w:val="1"/>
    <w:link w:val="115"/>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rPr>
  </w:style>
  <w:style w:type="paragraph" w:styleId="9">
    <w:name w:val="heading 9"/>
    <w:basedOn w:val="1"/>
    <w:next w:val="1"/>
    <w:link w:val="90"/>
    <w:unhideWhenUsed/>
    <w:qFormat/>
    <w:uiPriority w:val="9"/>
    <w:pPr>
      <w:keepNext/>
      <w:keepLines/>
      <w:spacing w:before="240" w:after="64" w:line="320" w:lineRule="auto"/>
      <w:outlineLvl w:val="8"/>
    </w:pPr>
    <w:rPr>
      <w:rFonts w:ascii="等线 Light" w:hAnsi="等线 Light" w:eastAsia="等线 Light"/>
      <w:szCs w:val="21"/>
    </w:rPr>
  </w:style>
  <w:style w:type="character" w:default="1" w:styleId="52">
    <w:name w:val="Default Paragraph Font"/>
    <w:semiHidden/>
    <w:unhideWhenUsed/>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0">
    <w:name w:val="List 3"/>
    <w:basedOn w:val="1"/>
    <w:qFormat/>
    <w:uiPriority w:val="0"/>
    <w:pPr>
      <w:tabs>
        <w:tab w:val="left" w:pos="360"/>
      </w:tabs>
      <w:ind w:left="100" w:leftChars="400" w:hanging="200" w:hangingChars="200"/>
    </w:pPr>
    <w:rPr>
      <w:szCs w:val="20"/>
    </w:rPr>
  </w:style>
  <w:style w:type="paragraph" w:styleId="11">
    <w:name w:val="toc 7"/>
    <w:basedOn w:val="1"/>
    <w:next w:val="1"/>
    <w:qFormat/>
    <w:uiPriority w:val="0"/>
    <w:pPr>
      <w:ind w:left="1260"/>
      <w:jc w:val="left"/>
    </w:pPr>
    <w:rPr>
      <w:szCs w:val="21"/>
    </w:rPr>
  </w:style>
  <w:style w:type="paragraph" w:styleId="12">
    <w:name w:val="table of authorities"/>
    <w:basedOn w:val="1"/>
    <w:next w:val="1"/>
    <w:autoRedefine/>
    <w:qFormat/>
    <w:uiPriority w:val="0"/>
    <w:pPr>
      <w:ind w:left="420" w:leftChars="200"/>
    </w:pPr>
    <w:rPr>
      <w:szCs w:val="20"/>
    </w:rPr>
  </w:style>
  <w:style w:type="paragraph" w:styleId="13">
    <w:name w:val="index 8"/>
    <w:basedOn w:val="1"/>
    <w:next w:val="1"/>
    <w:qFormat/>
    <w:uiPriority w:val="0"/>
    <w:pPr>
      <w:ind w:left="1400" w:leftChars="1400"/>
    </w:pPr>
    <w:rPr>
      <w:szCs w:val="20"/>
    </w:rPr>
  </w:style>
  <w:style w:type="paragraph" w:styleId="14">
    <w:name w:val="Normal Indent"/>
    <w:basedOn w:val="15"/>
    <w:qFormat/>
    <w:uiPriority w:val="0"/>
    <w:pPr>
      <w:ind w:firstLine="420" w:firstLineChars="200"/>
    </w:pPr>
  </w:style>
  <w:style w:type="paragraph" w:customStyle="1" w:styleId="15">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16">
    <w:name w:val="index 5"/>
    <w:basedOn w:val="1"/>
    <w:next w:val="1"/>
    <w:autoRedefine/>
    <w:qFormat/>
    <w:uiPriority w:val="0"/>
    <w:pPr>
      <w:ind w:left="800" w:leftChars="800"/>
    </w:pPr>
    <w:rPr>
      <w:szCs w:val="20"/>
    </w:rPr>
  </w:style>
  <w:style w:type="paragraph" w:styleId="17">
    <w:name w:val="Document Map"/>
    <w:basedOn w:val="1"/>
    <w:link w:val="121"/>
    <w:autoRedefine/>
    <w:qFormat/>
    <w:uiPriority w:val="0"/>
    <w:pPr>
      <w:shd w:val="clear" w:color="auto" w:fill="000080"/>
    </w:pPr>
    <w:rPr>
      <w:szCs w:val="20"/>
    </w:rPr>
  </w:style>
  <w:style w:type="paragraph" w:styleId="18">
    <w:name w:val="toa heading"/>
    <w:basedOn w:val="1"/>
    <w:next w:val="1"/>
    <w:qFormat/>
    <w:uiPriority w:val="0"/>
    <w:pPr>
      <w:spacing w:before="120"/>
    </w:pPr>
    <w:rPr>
      <w:rFonts w:ascii="Arial" w:hAnsi="Arial"/>
      <w:b/>
      <w:bCs/>
    </w:rPr>
  </w:style>
  <w:style w:type="paragraph" w:styleId="19">
    <w:name w:val="annotation text"/>
    <w:basedOn w:val="1"/>
    <w:link w:val="102"/>
    <w:autoRedefine/>
    <w:qFormat/>
    <w:uiPriority w:val="0"/>
    <w:pPr>
      <w:jc w:val="left"/>
    </w:pPr>
    <w:rPr>
      <w:szCs w:val="20"/>
    </w:rPr>
  </w:style>
  <w:style w:type="paragraph" w:styleId="20">
    <w:name w:val="index 6"/>
    <w:basedOn w:val="1"/>
    <w:next w:val="1"/>
    <w:qFormat/>
    <w:uiPriority w:val="0"/>
    <w:pPr>
      <w:ind w:left="1000" w:leftChars="1000"/>
    </w:pPr>
    <w:rPr>
      <w:szCs w:val="20"/>
    </w:rPr>
  </w:style>
  <w:style w:type="paragraph" w:styleId="21">
    <w:name w:val="Body Text 3"/>
    <w:basedOn w:val="1"/>
    <w:link w:val="122"/>
    <w:qFormat/>
    <w:uiPriority w:val="0"/>
    <w:rPr>
      <w:rFonts w:ascii="黑体" w:hAnsi="Arial" w:eastAsia="黑体"/>
      <w:b/>
      <w:sz w:val="28"/>
      <w:szCs w:val="20"/>
    </w:rPr>
  </w:style>
  <w:style w:type="paragraph" w:styleId="22">
    <w:name w:val="Body Text"/>
    <w:basedOn w:val="1"/>
    <w:link w:val="133"/>
    <w:autoRedefine/>
    <w:qFormat/>
    <w:uiPriority w:val="0"/>
    <w:rPr>
      <w:rFonts w:ascii="宋体" w:hAnsi="Arial"/>
      <w:sz w:val="28"/>
      <w:szCs w:val="20"/>
    </w:rPr>
  </w:style>
  <w:style w:type="paragraph" w:styleId="23">
    <w:name w:val="Body Text Indent"/>
    <w:basedOn w:val="1"/>
    <w:link w:val="99"/>
    <w:qFormat/>
    <w:uiPriority w:val="0"/>
    <w:pPr>
      <w:ind w:firstLine="645"/>
    </w:pPr>
    <w:rPr>
      <w:rFonts w:ascii="楷体_GB2312" w:eastAsia="楷体_GB2312"/>
      <w:kern w:val="0"/>
      <w:sz w:val="32"/>
      <w:szCs w:val="20"/>
    </w:rPr>
  </w:style>
  <w:style w:type="paragraph" w:styleId="24">
    <w:name w:val="index 4"/>
    <w:basedOn w:val="1"/>
    <w:next w:val="1"/>
    <w:qFormat/>
    <w:uiPriority w:val="0"/>
    <w:pPr>
      <w:ind w:left="600" w:leftChars="600"/>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
      <w:iCs/>
    </w:rPr>
  </w:style>
  <w:style w:type="paragraph" w:styleId="27">
    <w:name w:val="Plain Text"/>
    <w:basedOn w:val="1"/>
    <w:link w:val="108"/>
    <w:qFormat/>
    <w:uiPriority w:val="0"/>
    <w:rPr>
      <w:rFonts w:ascii="宋体" w:hAnsi="Courier New"/>
      <w:szCs w:val="20"/>
    </w:rPr>
  </w:style>
  <w:style w:type="paragraph" w:styleId="28">
    <w:name w:val="toc 8"/>
    <w:basedOn w:val="1"/>
    <w:next w:val="1"/>
    <w:qFormat/>
    <w:uiPriority w:val="0"/>
    <w:pPr>
      <w:ind w:left="1470"/>
      <w:jc w:val="left"/>
    </w:pPr>
    <w:rPr>
      <w:szCs w:val="21"/>
    </w:rPr>
  </w:style>
  <w:style w:type="paragraph" w:styleId="29">
    <w:name w:val="index 3"/>
    <w:basedOn w:val="1"/>
    <w:next w:val="1"/>
    <w:autoRedefine/>
    <w:qFormat/>
    <w:uiPriority w:val="0"/>
    <w:pPr>
      <w:ind w:left="400" w:leftChars="400"/>
    </w:pPr>
    <w:rPr>
      <w:szCs w:val="20"/>
    </w:rPr>
  </w:style>
  <w:style w:type="paragraph" w:styleId="30">
    <w:name w:val="Date"/>
    <w:basedOn w:val="1"/>
    <w:next w:val="1"/>
    <w:link w:val="118"/>
    <w:autoRedefine/>
    <w:qFormat/>
    <w:uiPriority w:val="0"/>
    <w:rPr>
      <w:b/>
      <w:sz w:val="28"/>
      <w:szCs w:val="20"/>
      <w:lang w:val="zh-CN"/>
    </w:rPr>
  </w:style>
  <w:style w:type="paragraph" w:styleId="31">
    <w:name w:val="Body Text Indent 2"/>
    <w:basedOn w:val="1"/>
    <w:link w:val="116"/>
    <w:autoRedefine/>
    <w:qFormat/>
    <w:uiPriority w:val="0"/>
    <w:pPr>
      <w:ind w:left="630" w:firstLine="645"/>
    </w:pPr>
    <w:rPr>
      <w:rFonts w:ascii="Arial" w:hAnsi="Arial" w:eastAsia="仿宋_GB2312"/>
      <w:sz w:val="32"/>
      <w:szCs w:val="20"/>
    </w:rPr>
  </w:style>
  <w:style w:type="paragraph" w:styleId="32">
    <w:name w:val="Balloon Text"/>
    <w:basedOn w:val="1"/>
    <w:link w:val="91"/>
    <w:autoRedefine/>
    <w:qFormat/>
    <w:uiPriority w:val="0"/>
    <w:rPr>
      <w:sz w:val="18"/>
      <w:szCs w:val="18"/>
    </w:rPr>
  </w:style>
  <w:style w:type="paragraph" w:styleId="33">
    <w:name w:val="footer"/>
    <w:basedOn w:val="1"/>
    <w:link w:val="101"/>
    <w:autoRedefine/>
    <w:qFormat/>
    <w:uiPriority w:val="99"/>
    <w:pPr>
      <w:tabs>
        <w:tab w:val="center" w:pos="4153"/>
        <w:tab w:val="right" w:pos="8306"/>
      </w:tabs>
      <w:snapToGrid w:val="0"/>
      <w:jc w:val="left"/>
    </w:pPr>
    <w:rPr>
      <w:sz w:val="18"/>
      <w:szCs w:val="20"/>
    </w:rPr>
  </w:style>
  <w:style w:type="paragraph" w:styleId="34">
    <w:name w:val="header"/>
    <w:basedOn w:val="1"/>
    <w:link w:val="84"/>
    <w:autoRedefine/>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pPr>
      <w:spacing w:before="120" w:after="120"/>
      <w:jc w:val="left"/>
    </w:pPr>
    <w:rPr>
      <w:caps/>
    </w:rPr>
  </w:style>
  <w:style w:type="paragraph" w:styleId="36">
    <w:name w:val="toc 4"/>
    <w:basedOn w:val="1"/>
    <w:next w:val="1"/>
    <w:autoRedefine/>
    <w:qFormat/>
    <w:uiPriority w:val="0"/>
    <w:pPr>
      <w:ind w:left="630"/>
      <w:jc w:val="left"/>
    </w:pPr>
    <w:rPr>
      <w:szCs w:val="21"/>
    </w:rPr>
  </w:style>
  <w:style w:type="paragraph" w:styleId="37">
    <w:name w:val="index heading"/>
    <w:basedOn w:val="1"/>
    <w:next w:val="38"/>
    <w:autoRedefine/>
    <w:qFormat/>
    <w:uiPriority w:val="99"/>
    <w:rPr>
      <w:szCs w:val="20"/>
    </w:rPr>
  </w:style>
  <w:style w:type="paragraph" w:styleId="38">
    <w:name w:val="index 1"/>
    <w:basedOn w:val="1"/>
    <w:next w:val="1"/>
    <w:autoRedefine/>
    <w:qFormat/>
    <w:uiPriority w:val="0"/>
    <w:pPr>
      <w:spacing w:line="360" w:lineRule="auto"/>
      <w:jc w:val="center"/>
    </w:pPr>
    <w:rPr>
      <w:rFonts w:ascii="宋体" w:hAnsi="宋体"/>
      <w:b/>
      <w:bCs/>
      <w:color w:val="FF0000"/>
      <w:sz w:val="24"/>
      <w:szCs w:val="20"/>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117"/>
    <w:autoRedefine/>
    <w:qFormat/>
    <w:uiPriority w:val="0"/>
    <w:pPr>
      <w:ind w:firstLine="645"/>
    </w:pPr>
    <w:rPr>
      <w:rFonts w:ascii="仿宋_GB2312" w:hAnsi="Arial" w:eastAsia="仿宋_GB2312"/>
      <w:color w:val="000000"/>
      <w:sz w:val="30"/>
      <w:szCs w:val="20"/>
    </w:rPr>
  </w:style>
  <w:style w:type="paragraph" w:styleId="41">
    <w:name w:val="index 7"/>
    <w:basedOn w:val="1"/>
    <w:next w:val="1"/>
    <w:autoRedefine/>
    <w:qFormat/>
    <w:uiPriority w:val="0"/>
    <w:pPr>
      <w:ind w:left="1200" w:leftChars="1200"/>
    </w:pPr>
    <w:rPr>
      <w:szCs w:val="20"/>
    </w:rPr>
  </w:style>
  <w:style w:type="paragraph" w:styleId="42">
    <w:name w:val="index 9"/>
    <w:basedOn w:val="1"/>
    <w:next w:val="1"/>
    <w:autoRedefine/>
    <w:qFormat/>
    <w:uiPriority w:val="0"/>
    <w:pPr>
      <w:ind w:left="1600" w:leftChars="1600"/>
    </w:pPr>
    <w:rPr>
      <w:szCs w:val="20"/>
    </w:rPr>
  </w:style>
  <w:style w:type="paragraph" w:styleId="43">
    <w:name w:val="toc 2"/>
    <w:basedOn w:val="1"/>
    <w:next w:val="1"/>
    <w:autoRedefine/>
    <w:qFormat/>
    <w:uiPriority w:val="39"/>
    <w:pPr>
      <w:ind w:left="210"/>
      <w:jc w:val="left"/>
    </w:pPr>
    <w:rPr>
      <w:smallCaps/>
      <w:sz w:val="28"/>
    </w:rPr>
  </w:style>
  <w:style w:type="paragraph" w:styleId="44">
    <w:name w:val="toc 9"/>
    <w:basedOn w:val="1"/>
    <w:next w:val="1"/>
    <w:autoRedefine/>
    <w:qFormat/>
    <w:uiPriority w:val="0"/>
    <w:pPr>
      <w:ind w:left="1680"/>
      <w:jc w:val="left"/>
    </w:pPr>
    <w:rPr>
      <w:szCs w:val="21"/>
    </w:rPr>
  </w:style>
  <w:style w:type="paragraph" w:styleId="45">
    <w:name w:val="Body Text 2"/>
    <w:basedOn w:val="1"/>
    <w:link w:val="120"/>
    <w:autoRedefine/>
    <w:qFormat/>
    <w:uiPriority w:val="0"/>
    <w:rPr>
      <w:rFonts w:ascii="仿宋_GB2312" w:eastAsia="仿宋_GB2312"/>
      <w:b/>
      <w:sz w:val="24"/>
      <w:szCs w:val="20"/>
    </w:rPr>
  </w:style>
  <w:style w:type="paragraph" w:styleId="4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7">
    <w:name w:val="index 2"/>
    <w:basedOn w:val="1"/>
    <w:next w:val="1"/>
    <w:autoRedefine/>
    <w:qFormat/>
    <w:uiPriority w:val="0"/>
    <w:pPr>
      <w:ind w:left="200" w:leftChars="200"/>
    </w:pPr>
    <w:rPr>
      <w:szCs w:val="20"/>
    </w:rPr>
  </w:style>
  <w:style w:type="paragraph" w:styleId="48">
    <w:name w:val="annotation subject"/>
    <w:basedOn w:val="19"/>
    <w:next w:val="19"/>
    <w:link w:val="103"/>
    <w:autoRedefine/>
    <w:qFormat/>
    <w:uiPriority w:val="0"/>
    <w:rPr>
      <w:b/>
      <w:bCs/>
      <w:szCs w:val="24"/>
    </w:rPr>
  </w:style>
  <w:style w:type="paragraph" w:styleId="49">
    <w:name w:val="Body Text First Indent"/>
    <w:basedOn w:val="1"/>
    <w:link w:val="134"/>
    <w:autoRedefine/>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table" w:styleId="51">
    <w:name w:val="Table Grid"/>
    <w:basedOn w:val="5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qFormat/>
    <w:uiPriority w:val="0"/>
    <w:rPr>
      <w:color w:val="800080" w:themeColor="followedHyperlink"/>
      <w:u w:val="single"/>
      <w14:textFill>
        <w14:solidFill>
          <w14:schemeClr w14:val="folHlink"/>
        </w14:solidFill>
      </w14:textFill>
    </w:rPr>
  </w:style>
  <w:style w:type="character" w:styleId="56">
    <w:name w:val="Emphasis"/>
    <w:autoRedefine/>
    <w:qFormat/>
    <w:uiPriority w:val="0"/>
    <w:rPr>
      <w:color w:val="CC0033"/>
    </w:rPr>
  </w:style>
  <w:style w:type="character" w:styleId="57">
    <w:name w:val="HTML Definition"/>
    <w:basedOn w:val="52"/>
    <w:autoRedefine/>
    <w:qFormat/>
    <w:uiPriority w:val="0"/>
  </w:style>
  <w:style w:type="character" w:styleId="58">
    <w:name w:val="HTML Typewriter"/>
    <w:basedOn w:val="52"/>
    <w:autoRedefine/>
    <w:qFormat/>
    <w:uiPriority w:val="0"/>
    <w:rPr>
      <w:rFonts w:hint="default" w:ascii="monospace" w:hAnsi="monospace" w:eastAsia="monospace" w:cs="monospace"/>
      <w:sz w:val="20"/>
    </w:rPr>
  </w:style>
  <w:style w:type="character" w:styleId="59">
    <w:name w:val="HTML Acronym"/>
    <w:basedOn w:val="52"/>
    <w:autoRedefine/>
    <w:qFormat/>
    <w:uiPriority w:val="0"/>
  </w:style>
  <w:style w:type="character" w:styleId="60">
    <w:name w:val="HTML Variable"/>
    <w:basedOn w:val="52"/>
    <w:autoRedefine/>
    <w:qFormat/>
    <w:uiPriority w:val="0"/>
  </w:style>
  <w:style w:type="character" w:styleId="61">
    <w:name w:val="Hyperlink"/>
    <w:autoRedefine/>
    <w:qFormat/>
    <w:uiPriority w:val="99"/>
    <w:rPr>
      <w:color w:val="0000FF"/>
      <w:u w:val="none"/>
    </w:rPr>
  </w:style>
  <w:style w:type="character" w:styleId="62">
    <w:name w:val="HTML Code"/>
    <w:basedOn w:val="52"/>
    <w:autoRedefine/>
    <w:qFormat/>
    <w:uiPriority w:val="0"/>
    <w:rPr>
      <w:rFonts w:ascii="monospace" w:hAnsi="monospace" w:eastAsia="monospace" w:cs="monospace"/>
      <w:sz w:val="20"/>
    </w:rPr>
  </w:style>
  <w:style w:type="character" w:styleId="63">
    <w:name w:val="annotation reference"/>
    <w:autoRedefine/>
    <w:qFormat/>
    <w:uiPriority w:val="0"/>
    <w:rPr>
      <w:sz w:val="21"/>
      <w:szCs w:val="21"/>
    </w:rPr>
  </w:style>
  <w:style w:type="character" w:styleId="64">
    <w:name w:val="HTML Cite"/>
    <w:basedOn w:val="52"/>
    <w:autoRedefine/>
    <w:qFormat/>
    <w:uiPriority w:val="0"/>
  </w:style>
  <w:style w:type="character" w:styleId="65">
    <w:name w:val="HTML Keyboard"/>
    <w:basedOn w:val="52"/>
    <w:autoRedefine/>
    <w:qFormat/>
    <w:uiPriority w:val="0"/>
    <w:rPr>
      <w:rFonts w:hint="default" w:ascii="monospace" w:hAnsi="monospace" w:eastAsia="monospace" w:cs="monospace"/>
      <w:sz w:val="20"/>
    </w:rPr>
  </w:style>
  <w:style w:type="character" w:styleId="66">
    <w:name w:val="HTML Sample"/>
    <w:basedOn w:val="52"/>
    <w:autoRedefine/>
    <w:qFormat/>
    <w:uiPriority w:val="0"/>
    <w:rPr>
      <w:rFonts w:hint="default" w:ascii="monospace" w:hAnsi="monospace" w:eastAsia="monospace" w:cs="monospace"/>
    </w:rPr>
  </w:style>
  <w:style w:type="paragraph" w:customStyle="1" w:styleId="67">
    <w:name w:val="Char Char Char Char Char Char Char Char Char Char"/>
    <w:basedOn w:val="1"/>
    <w:autoRedefine/>
    <w:qFormat/>
    <w:uiPriority w:val="0"/>
    <w:rPr>
      <w:rFonts w:eastAsia="仿宋_GB2312"/>
      <w:sz w:val="32"/>
      <w:szCs w:val="20"/>
    </w:rPr>
  </w:style>
  <w:style w:type="paragraph" w:customStyle="1" w:styleId="68">
    <w:name w:val="Char Char Char Char Char1 Char Char Char Char Char Char Char"/>
    <w:basedOn w:val="1"/>
    <w:autoRedefine/>
    <w:qFormat/>
    <w:uiPriority w:val="0"/>
  </w:style>
  <w:style w:type="paragraph" w:customStyle="1" w:styleId="69">
    <w:name w:val="p0"/>
    <w:basedOn w:val="1"/>
    <w:autoRedefine/>
    <w:qFormat/>
    <w:uiPriority w:val="0"/>
    <w:pPr>
      <w:widowControl/>
    </w:pPr>
    <w:rPr>
      <w:kern w:val="0"/>
      <w:szCs w:val="21"/>
    </w:rPr>
  </w:style>
  <w:style w:type="paragraph" w:customStyle="1" w:styleId="70">
    <w:name w:val="文档"/>
    <w:basedOn w:val="1"/>
    <w:link w:val="86"/>
    <w:autoRedefine/>
    <w:qFormat/>
    <w:uiPriority w:val="0"/>
    <w:pPr>
      <w:adjustRightInd w:val="0"/>
      <w:snapToGrid w:val="0"/>
      <w:spacing w:after="156" w:afterLines="50"/>
      <w:ind w:firstLine="480" w:firstLineChars="200"/>
      <w:jc w:val="left"/>
    </w:pPr>
    <w:rPr>
      <w:sz w:val="24"/>
    </w:rPr>
  </w:style>
  <w:style w:type="paragraph" w:customStyle="1" w:styleId="71">
    <w:name w:val="正文文本11"/>
    <w:basedOn w:val="1"/>
    <w:link w:val="92"/>
    <w:autoRedefine/>
    <w:qFormat/>
    <w:uiPriority w:val="0"/>
    <w:pPr>
      <w:shd w:val="clear" w:color="auto" w:fill="FFFFFF"/>
      <w:spacing w:line="466" w:lineRule="exact"/>
      <w:ind w:hanging="580"/>
      <w:jc w:val="distribute"/>
    </w:pPr>
    <w:rPr>
      <w:rFonts w:ascii="Arial Unicode MS" w:hAnsi="Arial Unicode MS" w:eastAsia="Arial Unicode MS" w:cs="Arial Unicode MS"/>
      <w:kern w:val="0"/>
      <w:sz w:val="22"/>
      <w:szCs w:val="22"/>
    </w:rPr>
  </w:style>
  <w:style w:type="paragraph" w:customStyle="1" w:styleId="72">
    <w:name w:val="_Style 24"/>
    <w:basedOn w:val="1"/>
    <w:autoRedefine/>
    <w:qFormat/>
    <w:uiPriority w:val="34"/>
    <w:pPr>
      <w:ind w:firstLine="420" w:firstLineChars="200"/>
    </w:pPr>
    <w:rPr>
      <w:szCs w:val="20"/>
    </w:rPr>
  </w:style>
  <w:style w:type="paragraph" w:customStyle="1" w:styleId="73">
    <w:name w:val="列出段落1"/>
    <w:basedOn w:val="1"/>
    <w:autoRedefine/>
    <w:qFormat/>
    <w:uiPriority w:val="34"/>
    <w:pPr>
      <w:ind w:firstLine="420" w:firstLineChars="200"/>
    </w:pPr>
  </w:style>
  <w:style w:type="paragraph" w:customStyle="1" w:styleId="74">
    <w:name w:val="列出段落2"/>
    <w:basedOn w:val="1"/>
    <w:autoRedefine/>
    <w:qFormat/>
    <w:uiPriority w:val="34"/>
    <w:pPr>
      <w:ind w:firstLine="420" w:firstLineChars="200"/>
    </w:pPr>
  </w:style>
  <w:style w:type="paragraph" w:customStyle="1" w:styleId="75">
    <w:name w:val="正文（缩进）"/>
    <w:basedOn w:val="1"/>
    <w:autoRedefine/>
    <w:qFormat/>
    <w:uiPriority w:val="0"/>
    <w:pPr>
      <w:widowControl/>
      <w:spacing w:before="156" w:after="156"/>
      <w:ind w:firstLine="480" w:firstLineChars="200"/>
      <w:jc w:val="left"/>
    </w:pPr>
    <w:rPr>
      <w:rFonts w:ascii="仿宋_GB2312" w:eastAsia="仿宋_GB2312"/>
      <w:kern w:val="0"/>
      <w:sz w:val="24"/>
      <w:szCs w:val="20"/>
    </w:rPr>
  </w:style>
  <w:style w:type="paragraph" w:customStyle="1" w:styleId="76">
    <w:name w:val="样式 首行缩进:  2 字符"/>
    <w:basedOn w:val="1"/>
    <w:link w:val="98"/>
    <w:autoRedefine/>
    <w:qFormat/>
    <w:uiPriority w:val="0"/>
    <w:pPr>
      <w:adjustRightInd w:val="0"/>
      <w:snapToGrid w:val="0"/>
      <w:spacing w:line="360" w:lineRule="auto"/>
      <w:ind w:firstLine="480" w:firstLineChars="200"/>
    </w:pPr>
    <w:rPr>
      <w:rFonts w:cs="宋体"/>
      <w:sz w:val="24"/>
      <w:szCs w:val="20"/>
    </w:rPr>
  </w:style>
  <w:style w:type="paragraph" w:customStyle="1" w:styleId="77">
    <w:name w:val="Char"/>
    <w:basedOn w:val="1"/>
    <w:autoRedefine/>
    <w:qFormat/>
    <w:uiPriority w:val="0"/>
    <w:pPr>
      <w:widowControl/>
      <w:spacing w:after="160" w:line="240" w:lineRule="exact"/>
      <w:jc w:val="left"/>
    </w:pPr>
    <w:rPr>
      <w:szCs w:val="20"/>
    </w:rPr>
  </w:style>
  <w:style w:type="paragraph" w:customStyle="1" w:styleId="78">
    <w:name w:val="6"/>
    <w:basedOn w:val="1"/>
    <w:autoRedefine/>
    <w:qFormat/>
    <w:uiPriority w:val="0"/>
    <w:rPr>
      <w:kern w:val="0"/>
      <w:szCs w:val="20"/>
    </w:rPr>
  </w:style>
  <w:style w:type="paragraph" w:customStyle="1" w:styleId="79">
    <w:name w:val="Char1"/>
    <w:basedOn w:val="1"/>
    <w:autoRedefine/>
    <w:qFormat/>
    <w:uiPriority w:val="0"/>
    <w:pPr>
      <w:widowControl/>
      <w:spacing w:after="160" w:line="240" w:lineRule="exact"/>
      <w:jc w:val="left"/>
    </w:pPr>
    <w:rPr>
      <w:szCs w:val="20"/>
    </w:rPr>
  </w:style>
  <w:style w:type="paragraph" w:customStyle="1" w:styleId="80">
    <w:name w:val="纯文本1"/>
    <w:basedOn w:val="1"/>
    <w:autoRedefine/>
    <w:qFormat/>
    <w:uiPriority w:val="0"/>
    <w:pPr>
      <w:widowControl/>
      <w:adjustRightInd w:val="0"/>
      <w:jc w:val="left"/>
      <w:textAlignment w:val="baseline"/>
    </w:pPr>
    <w:rPr>
      <w:rFonts w:ascii="宋体" w:hAnsi="Courier New" w:eastAsia="楷体_GB2312"/>
      <w:kern w:val="0"/>
      <w:sz w:val="26"/>
      <w:szCs w:val="20"/>
    </w:rPr>
  </w:style>
  <w:style w:type="paragraph" w:customStyle="1" w:styleId="81">
    <w:name w:val="条文 表"/>
    <w:next w:val="1"/>
    <w:autoRedefine/>
    <w:qFormat/>
    <w:uiPriority w:val="0"/>
    <w:pPr>
      <w:tabs>
        <w:tab w:val="left" w:pos="2520"/>
      </w:tabs>
      <w:ind w:left="2520" w:hanging="2520"/>
      <w:jc w:val="center"/>
    </w:pPr>
    <w:rPr>
      <w:rFonts w:ascii="Times New Roman" w:hAnsi="Times New Roman" w:eastAsia="黑体" w:cs="Times New Roman"/>
      <w:sz w:val="21"/>
      <w:lang w:val="en-US" w:eastAsia="zh-CN" w:bidi="ar-SA"/>
    </w:rPr>
  </w:style>
  <w:style w:type="paragraph" w:customStyle="1" w:styleId="82">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3">
    <w:name w:val="Char Char Char Char"/>
    <w:basedOn w:val="1"/>
    <w:autoRedefine/>
    <w:qFormat/>
    <w:uiPriority w:val="0"/>
    <w:pPr>
      <w:tabs>
        <w:tab w:val="left" w:pos="360"/>
      </w:tabs>
      <w:ind w:firstLine="420" w:firstLineChars="150"/>
    </w:pPr>
    <w:rPr>
      <w:szCs w:val="20"/>
    </w:rPr>
  </w:style>
  <w:style w:type="character" w:customStyle="1" w:styleId="84">
    <w:name w:val="页眉 字符"/>
    <w:link w:val="34"/>
    <w:autoRedefine/>
    <w:qFormat/>
    <w:uiPriority w:val="99"/>
    <w:rPr>
      <w:kern w:val="2"/>
      <w:sz w:val="18"/>
      <w:szCs w:val="18"/>
    </w:rPr>
  </w:style>
  <w:style w:type="character" w:customStyle="1" w:styleId="85">
    <w:name w:val="Char Char1"/>
    <w:autoRedefine/>
    <w:qFormat/>
    <w:uiPriority w:val="0"/>
    <w:rPr>
      <w:kern w:val="2"/>
      <w:sz w:val="18"/>
      <w:szCs w:val="18"/>
    </w:rPr>
  </w:style>
  <w:style w:type="character" w:customStyle="1" w:styleId="86">
    <w:name w:val="文档 Char"/>
    <w:link w:val="70"/>
    <w:autoRedefine/>
    <w:qFormat/>
    <w:uiPriority w:val="0"/>
    <w:rPr>
      <w:kern w:val="2"/>
      <w:sz w:val="24"/>
      <w:szCs w:val="24"/>
    </w:rPr>
  </w:style>
  <w:style w:type="character" w:customStyle="1" w:styleId="87">
    <w:name w:val="标题 1 字符"/>
    <w:link w:val="2"/>
    <w:autoRedefine/>
    <w:qFormat/>
    <w:uiPriority w:val="0"/>
    <w:rPr>
      <w:b/>
      <w:bCs/>
      <w:kern w:val="44"/>
      <w:sz w:val="44"/>
      <w:szCs w:val="44"/>
    </w:rPr>
  </w:style>
  <w:style w:type="character" w:customStyle="1" w:styleId="88">
    <w:name w:val="标题 2 字符"/>
    <w:link w:val="3"/>
    <w:autoRedefine/>
    <w:qFormat/>
    <w:uiPriority w:val="0"/>
    <w:rPr>
      <w:rFonts w:ascii="等线 Light" w:hAnsi="等线 Light" w:eastAsia="等线 Light"/>
      <w:b/>
      <w:bCs/>
      <w:kern w:val="2"/>
      <w:sz w:val="32"/>
      <w:szCs w:val="32"/>
    </w:rPr>
  </w:style>
  <w:style w:type="character" w:customStyle="1" w:styleId="89">
    <w:name w:val="标题 3 字符"/>
    <w:link w:val="4"/>
    <w:autoRedefine/>
    <w:qFormat/>
    <w:uiPriority w:val="0"/>
    <w:rPr>
      <w:b/>
      <w:bCs/>
      <w:kern w:val="2"/>
      <w:sz w:val="32"/>
      <w:szCs w:val="32"/>
    </w:rPr>
  </w:style>
  <w:style w:type="character" w:customStyle="1" w:styleId="90">
    <w:name w:val="标题 9 字符"/>
    <w:link w:val="9"/>
    <w:autoRedefine/>
    <w:semiHidden/>
    <w:qFormat/>
    <w:uiPriority w:val="9"/>
    <w:rPr>
      <w:rFonts w:ascii="等线 Light" w:hAnsi="等线 Light" w:eastAsia="等线 Light"/>
      <w:kern w:val="2"/>
      <w:sz w:val="21"/>
      <w:szCs w:val="21"/>
    </w:rPr>
  </w:style>
  <w:style w:type="character" w:customStyle="1" w:styleId="91">
    <w:name w:val="批注框文本 字符"/>
    <w:link w:val="32"/>
    <w:autoRedefine/>
    <w:qFormat/>
    <w:uiPriority w:val="0"/>
    <w:rPr>
      <w:kern w:val="2"/>
      <w:sz w:val="18"/>
      <w:szCs w:val="18"/>
    </w:rPr>
  </w:style>
  <w:style w:type="character" w:customStyle="1" w:styleId="92">
    <w:name w:val="正文文本_"/>
    <w:link w:val="71"/>
    <w:autoRedefine/>
    <w:qFormat/>
    <w:locked/>
    <w:uiPriority w:val="0"/>
    <w:rPr>
      <w:rFonts w:ascii="Arial Unicode MS" w:hAnsi="Arial Unicode MS" w:eastAsia="Arial Unicode MS" w:cs="Arial Unicode MS"/>
      <w:sz w:val="22"/>
      <w:szCs w:val="22"/>
      <w:shd w:val="clear" w:color="auto" w:fill="FFFFFF"/>
    </w:rPr>
  </w:style>
  <w:style w:type="character" w:customStyle="1" w:styleId="93">
    <w:name w:val="正文文本2"/>
    <w:autoRedefine/>
    <w:qFormat/>
    <w:uiPriority w:val="0"/>
    <w:rPr>
      <w:rFonts w:ascii="Arial Unicode MS" w:hAnsi="Arial Unicode MS" w:eastAsia="Arial Unicode MS" w:cs="Arial Unicode MS"/>
      <w:color w:val="000000"/>
      <w:spacing w:val="0"/>
      <w:w w:val="100"/>
      <w:position w:val="0"/>
      <w:sz w:val="22"/>
      <w:szCs w:val="22"/>
      <w:shd w:val="clear" w:color="auto" w:fill="FFFFFF"/>
      <w:lang w:val="zh-CN"/>
    </w:rPr>
  </w:style>
  <w:style w:type="character" w:customStyle="1" w:styleId="94">
    <w:name w:val="正文文本3"/>
    <w:autoRedefine/>
    <w:qFormat/>
    <w:uiPriority w:val="0"/>
    <w:rPr>
      <w:rFonts w:ascii="Arial Unicode MS" w:hAnsi="Arial Unicode MS" w:eastAsia="Arial Unicode MS" w:cs="Arial Unicode MS"/>
      <w:color w:val="000000"/>
      <w:spacing w:val="0"/>
      <w:w w:val="100"/>
      <w:position w:val="0"/>
      <w:sz w:val="22"/>
      <w:szCs w:val="22"/>
      <w:shd w:val="clear" w:color="auto" w:fill="FFFFFF"/>
      <w:lang w:val="zh-CN"/>
    </w:rPr>
  </w:style>
  <w:style w:type="character" w:customStyle="1" w:styleId="95">
    <w:name w:val="表格标题"/>
    <w:autoRedefine/>
    <w:qFormat/>
    <w:uiPriority w:val="0"/>
    <w:rPr>
      <w:rFonts w:hint="eastAsia" w:ascii="Arial Unicode MS" w:hAnsi="Arial Unicode MS" w:eastAsia="Arial Unicode MS" w:cs="Arial Unicode MS"/>
      <w:color w:val="000000"/>
      <w:spacing w:val="0"/>
      <w:w w:val="100"/>
      <w:position w:val="0"/>
      <w:sz w:val="22"/>
      <w:szCs w:val="22"/>
      <w:u w:val="none"/>
      <w:lang w:val="zh-CN"/>
    </w:rPr>
  </w:style>
  <w:style w:type="character" w:customStyle="1" w:styleId="96">
    <w:name w:val="正文文本 + 7 pt"/>
    <w:autoRedefine/>
    <w:qFormat/>
    <w:uiPriority w:val="0"/>
    <w:rPr>
      <w:rFonts w:ascii="Arial Unicode MS" w:hAnsi="Arial Unicode MS" w:eastAsia="Arial Unicode MS" w:cs="Arial Unicode MS"/>
      <w:color w:val="000000"/>
      <w:spacing w:val="0"/>
      <w:w w:val="100"/>
      <w:position w:val="0"/>
      <w:sz w:val="14"/>
      <w:szCs w:val="14"/>
      <w:shd w:val="clear" w:color="auto" w:fill="FFFFFF"/>
    </w:rPr>
  </w:style>
  <w:style w:type="character" w:customStyle="1" w:styleId="97">
    <w:name w:val="apple-converted-space"/>
    <w:autoRedefine/>
    <w:qFormat/>
    <w:uiPriority w:val="0"/>
  </w:style>
  <w:style w:type="character" w:customStyle="1" w:styleId="98">
    <w:name w:val="样式 首行缩进:  2 字符 Char1"/>
    <w:link w:val="76"/>
    <w:autoRedefine/>
    <w:qFormat/>
    <w:uiPriority w:val="0"/>
    <w:rPr>
      <w:rFonts w:cs="宋体"/>
      <w:kern w:val="2"/>
      <w:sz w:val="24"/>
    </w:rPr>
  </w:style>
  <w:style w:type="character" w:customStyle="1" w:styleId="99">
    <w:name w:val="正文文本缩进 字符"/>
    <w:link w:val="23"/>
    <w:autoRedefine/>
    <w:qFormat/>
    <w:uiPriority w:val="0"/>
    <w:rPr>
      <w:rFonts w:ascii="楷体_GB2312" w:eastAsia="楷体_GB2312"/>
      <w:sz w:val="32"/>
    </w:rPr>
  </w:style>
  <w:style w:type="character" w:customStyle="1" w:styleId="100">
    <w:name w:val="正文文本缩进 Char1"/>
    <w:autoRedefine/>
    <w:qFormat/>
    <w:uiPriority w:val="99"/>
    <w:rPr>
      <w:kern w:val="2"/>
      <w:sz w:val="21"/>
      <w:szCs w:val="24"/>
    </w:rPr>
  </w:style>
  <w:style w:type="character" w:customStyle="1" w:styleId="101">
    <w:name w:val="页脚 字符"/>
    <w:link w:val="33"/>
    <w:autoRedefine/>
    <w:qFormat/>
    <w:locked/>
    <w:uiPriority w:val="99"/>
    <w:rPr>
      <w:kern w:val="2"/>
      <w:sz w:val="18"/>
    </w:rPr>
  </w:style>
  <w:style w:type="character" w:customStyle="1" w:styleId="102">
    <w:name w:val="批注文字 字符"/>
    <w:link w:val="19"/>
    <w:autoRedefine/>
    <w:qFormat/>
    <w:uiPriority w:val="0"/>
    <w:rPr>
      <w:kern w:val="2"/>
      <w:sz w:val="21"/>
    </w:rPr>
  </w:style>
  <w:style w:type="character" w:customStyle="1" w:styleId="103">
    <w:name w:val="批注主题 字符"/>
    <w:link w:val="48"/>
    <w:autoRedefine/>
    <w:qFormat/>
    <w:uiPriority w:val="0"/>
    <w:rPr>
      <w:b/>
      <w:bCs/>
      <w:kern w:val="2"/>
      <w:sz w:val="21"/>
      <w:szCs w:val="24"/>
    </w:rPr>
  </w:style>
  <w:style w:type="paragraph" w:customStyle="1" w:styleId="104">
    <w:name w:val="Char Char Char Char Char Char Char1 Char"/>
    <w:basedOn w:val="1"/>
    <w:autoRedefine/>
    <w:qFormat/>
    <w:uiPriority w:val="99"/>
    <w:rPr>
      <w:rFonts w:ascii="Tahoma" w:hAnsi="Tahoma"/>
      <w:sz w:val="24"/>
      <w:szCs w:val="20"/>
    </w:rPr>
  </w:style>
  <w:style w:type="paragraph" w:customStyle="1" w:styleId="105">
    <w:name w:val="数字正文"/>
    <w:basedOn w:val="1"/>
    <w:autoRedefine/>
    <w:qFormat/>
    <w:uiPriority w:val="99"/>
    <w:pPr>
      <w:spacing w:beforeLines="50" w:afterLines="50" w:line="360" w:lineRule="auto"/>
      <w:ind w:firstLine="480" w:firstLineChars="200"/>
    </w:pPr>
    <w:rPr>
      <w:bCs/>
      <w:color w:val="000000"/>
      <w:kern w:val="0"/>
      <w:sz w:val="24"/>
      <w:lang w:val="zh-CN"/>
    </w:rPr>
  </w:style>
  <w:style w:type="paragraph" w:customStyle="1" w:styleId="106">
    <w:name w:val="D&amp;L"/>
    <w:basedOn w:val="34"/>
    <w:autoRedefine/>
    <w:qFormat/>
    <w:uiPriority w:val="99"/>
    <w:pPr>
      <w:pBdr>
        <w:bottom w:val="thinThickSmallGap" w:color="auto" w:sz="18" w:space="1"/>
      </w:pBdr>
      <w:adjustRightInd w:val="0"/>
      <w:snapToGrid/>
      <w:spacing w:line="240" w:lineRule="atLeast"/>
      <w:textAlignment w:val="baseline"/>
    </w:pPr>
    <w:rPr>
      <w:kern w:val="0"/>
      <w:sz w:val="24"/>
      <w:szCs w:val="20"/>
      <w:lang w:val="zh-CN"/>
    </w:rPr>
  </w:style>
  <w:style w:type="paragraph" w:customStyle="1" w:styleId="107">
    <w:name w:val="文档正文"/>
    <w:basedOn w:val="1"/>
    <w:autoRedefine/>
    <w:qFormat/>
    <w:uiPriority w:val="99"/>
    <w:pPr>
      <w:spacing w:line="160" w:lineRule="atLeast"/>
    </w:pPr>
    <w:rPr>
      <w:rFonts w:ascii="仿宋_GB2312"/>
      <w:szCs w:val="21"/>
    </w:rPr>
  </w:style>
  <w:style w:type="character" w:customStyle="1" w:styleId="108">
    <w:name w:val="纯文本 字符"/>
    <w:link w:val="27"/>
    <w:autoRedefine/>
    <w:qFormat/>
    <w:locked/>
    <w:uiPriority w:val="0"/>
    <w:rPr>
      <w:rFonts w:ascii="宋体" w:hAnsi="Courier New"/>
      <w:kern w:val="2"/>
      <w:sz w:val="21"/>
    </w:rPr>
  </w:style>
  <w:style w:type="character" w:customStyle="1" w:styleId="109">
    <w:name w:val="纯文本 Char"/>
    <w:basedOn w:val="52"/>
    <w:autoRedefine/>
    <w:qFormat/>
    <w:uiPriority w:val="0"/>
    <w:rPr>
      <w:rFonts w:ascii="宋体" w:hAnsi="Courier New" w:cs="Courier New"/>
      <w:kern w:val="2"/>
      <w:sz w:val="21"/>
      <w:szCs w:val="21"/>
    </w:rPr>
  </w:style>
  <w:style w:type="paragraph" w:customStyle="1" w:styleId="11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11">
    <w:name w:val="List Paragraph"/>
    <w:basedOn w:val="1"/>
    <w:autoRedefine/>
    <w:unhideWhenUsed/>
    <w:qFormat/>
    <w:uiPriority w:val="34"/>
    <w:pPr>
      <w:ind w:firstLine="420" w:firstLineChars="200"/>
    </w:pPr>
  </w:style>
  <w:style w:type="character" w:customStyle="1" w:styleId="112">
    <w:name w:val="标题 4 字符"/>
    <w:basedOn w:val="52"/>
    <w:link w:val="5"/>
    <w:autoRedefine/>
    <w:qFormat/>
    <w:uiPriority w:val="0"/>
    <w:rPr>
      <w:rFonts w:ascii="Arial" w:hAnsi="Arial" w:eastAsia="黑体"/>
      <w:b/>
      <w:bCs/>
      <w:kern w:val="2"/>
      <w:sz w:val="28"/>
      <w:szCs w:val="28"/>
    </w:rPr>
  </w:style>
  <w:style w:type="character" w:customStyle="1" w:styleId="113">
    <w:name w:val="标题 5 字符"/>
    <w:basedOn w:val="52"/>
    <w:link w:val="6"/>
    <w:autoRedefine/>
    <w:qFormat/>
    <w:uiPriority w:val="0"/>
    <w:rPr>
      <w:rFonts w:ascii="宋体" w:hAnsi="Arial"/>
      <w:bCs/>
      <w:kern w:val="2"/>
      <w:sz w:val="28"/>
    </w:rPr>
  </w:style>
  <w:style w:type="character" w:customStyle="1" w:styleId="114">
    <w:name w:val="标题 6 字符"/>
    <w:basedOn w:val="52"/>
    <w:link w:val="7"/>
    <w:autoRedefine/>
    <w:qFormat/>
    <w:uiPriority w:val="0"/>
    <w:rPr>
      <w:rFonts w:ascii="宋体" w:hAnsi="宋体"/>
      <w:sz w:val="28"/>
    </w:rPr>
  </w:style>
  <w:style w:type="character" w:customStyle="1" w:styleId="115">
    <w:name w:val="标题 7 字符"/>
    <w:basedOn w:val="52"/>
    <w:link w:val="8"/>
    <w:autoRedefine/>
    <w:qFormat/>
    <w:uiPriority w:val="0"/>
    <w:rPr>
      <w:rFonts w:ascii="Arial" w:hAnsi="Arial" w:eastAsia="仿宋_GB2312" w:cs="Arial"/>
      <w:b/>
      <w:bCs/>
      <w:spacing w:val="-4"/>
      <w:kern w:val="2"/>
      <w:sz w:val="24"/>
      <w:szCs w:val="24"/>
    </w:rPr>
  </w:style>
  <w:style w:type="character" w:customStyle="1" w:styleId="116">
    <w:name w:val="正文文本缩进 2 字符"/>
    <w:basedOn w:val="52"/>
    <w:link w:val="31"/>
    <w:autoRedefine/>
    <w:qFormat/>
    <w:uiPriority w:val="0"/>
    <w:rPr>
      <w:rFonts w:ascii="Arial" w:hAnsi="Arial" w:eastAsia="仿宋_GB2312"/>
      <w:kern w:val="2"/>
      <w:sz w:val="32"/>
    </w:rPr>
  </w:style>
  <w:style w:type="character" w:customStyle="1" w:styleId="117">
    <w:name w:val="正文文本缩进 3 字符"/>
    <w:basedOn w:val="52"/>
    <w:link w:val="40"/>
    <w:autoRedefine/>
    <w:qFormat/>
    <w:uiPriority w:val="0"/>
    <w:rPr>
      <w:rFonts w:ascii="仿宋_GB2312" w:hAnsi="Arial" w:eastAsia="仿宋_GB2312"/>
      <w:color w:val="000000"/>
      <w:kern w:val="2"/>
      <w:sz w:val="30"/>
    </w:rPr>
  </w:style>
  <w:style w:type="character" w:customStyle="1" w:styleId="118">
    <w:name w:val="日期 字符"/>
    <w:basedOn w:val="52"/>
    <w:link w:val="30"/>
    <w:autoRedefine/>
    <w:qFormat/>
    <w:uiPriority w:val="0"/>
    <w:rPr>
      <w:b/>
      <w:kern w:val="2"/>
      <w:sz w:val="28"/>
      <w:lang w:val="zh-CN" w:eastAsia="zh-CN"/>
    </w:rPr>
  </w:style>
  <w:style w:type="paragraph" w:customStyle="1" w:styleId="119">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0">
    <w:name w:val="正文文本 2 字符"/>
    <w:basedOn w:val="52"/>
    <w:link w:val="45"/>
    <w:autoRedefine/>
    <w:qFormat/>
    <w:uiPriority w:val="0"/>
    <w:rPr>
      <w:rFonts w:ascii="仿宋_GB2312" w:eastAsia="仿宋_GB2312"/>
      <w:b/>
      <w:kern w:val="2"/>
      <w:sz w:val="24"/>
    </w:rPr>
  </w:style>
  <w:style w:type="character" w:customStyle="1" w:styleId="121">
    <w:name w:val="文档结构图 字符"/>
    <w:basedOn w:val="52"/>
    <w:link w:val="17"/>
    <w:autoRedefine/>
    <w:qFormat/>
    <w:uiPriority w:val="0"/>
    <w:rPr>
      <w:kern w:val="2"/>
      <w:sz w:val="21"/>
      <w:shd w:val="clear" w:color="auto" w:fill="000080"/>
    </w:rPr>
  </w:style>
  <w:style w:type="character" w:customStyle="1" w:styleId="122">
    <w:name w:val="正文文本 3 字符"/>
    <w:basedOn w:val="52"/>
    <w:link w:val="21"/>
    <w:autoRedefine/>
    <w:qFormat/>
    <w:uiPriority w:val="0"/>
    <w:rPr>
      <w:rFonts w:ascii="黑体" w:hAnsi="Arial" w:eastAsia="黑体"/>
      <w:b/>
      <w:kern w:val="2"/>
      <w:sz w:val="28"/>
    </w:rPr>
  </w:style>
  <w:style w:type="paragraph" w:customStyle="1" w:styleId="12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4">
    <w:name w:val="font6"/>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5">
    <w:name w:val="font7"/>
    <w:basedOn w:val="1"/>
    <w:autoRedefine/>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26">
    <w:name w:val="font8"/>
    <w:basedOn w:val="1"/>
    <w:autoRedefine/>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127">
    <w:name w:val="font9"/>
    <w:basedOn w:val="1"/>
    <w:autoRedefine/>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2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2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30">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3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32">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character" w:customStyle="1" w:styleId="133">
    <w:name w:val="正文文本 字符"/>
    <w:basedOn w:val="52"/>
    <w:link w:val="22"/>
    <w:autoRedefine/>
    <w:qFormat/>
    <w:uiPriority w:val="0"/>
    <w:rPr>
      <w:rFonts w:ascii="宋体" w:hAnsi="Arial"/>
      <w:kern w:val="2"/>
      <w:sz w:val="28"/>
    </w:rPr>
  </w:style>
  <w:style w:type="character" w:customStyle="1" w:styleId="134">
    <w:name w:val="正文文本首行缩进 字符"/>
    <w:basedOn w:val="133"/>
    <w:link w:val="49"/>
    <w:autoRedefine/>
    <w:qFormat/>
    <w:uiPriority w:val="0"/>
    <w:rPr>
      <w:rFonts w:ascii="Arial" w:hAnsi="Arial" w:eastAsia="仿宋_GB2312" w:cs="Arial"/>
      <w:kern w:val="2"/>
      <w:sz w:val="24"/>
      <w:szCs w:val="32"/>
    </w:rPr>
  </w:style>
  <w:style w:type="paragraph" w:customStyle="1" w:styleId="135">
    <w:name w:val="基本文字 Char"/>
    <w:basedOn w:val="1"/>
    <w:autoRedefine/>
    <w:qFormat/>
    <w:uiPriority w:val="0"/>
    <w:pPr>
      <w:spacing w:before="156" w:line="400" w:lineRule="atLeast"/>
      <w:ind w:firstLine="540" w:firstLineChars="225"/>
    </w:pPr>
    <w:rPr>
      <w:sz w:val="24"/>
      <w:szCs w:val="20"/>
    </w:rPr>
  </w:style>
  <w:style w:type="paragraph" w:customStyle="1" w:styleId="136">
    <w:name w:val="文章正文"/>
    <w:basedOn w:val="1"/>
    <w:autoRedefine/>
    <w:qFormat/>
    <w:uiPriority w:val="0"/>
    <w:pPr>
      <w:spacing w:beforeLines="50" w:afterLines="50" w:line="320" w:lineRule="exact"/>
      <w:ind w:firstLine="200" w:firstLineChars="200"/>
    </w:pPr>
    <w:rPr>
      <w:rFonts w:ascii="仿宋_GB2312" w:eastAsia="仿宋_GB2312"/>
      <w:sz w:val="28"/>
    </w:rPr>
  </w:style>
  <w:style w:type="paragraph" w:customStyle="1" w:styleId="137">
    <w:name w:val="二级标题"/>
    <w:basedOn w:val="1"/>
    <w:next w:val="136"/>
    <w:autoRedefine/>
    <w:qFormat/>
    <w:uiPriority w:val="0"/>
    <w:pPr>
      <w:tabs>
        <w:tab w:val="left" w:pos="992"/>
      </w:tabs>
      <w:ind w:left="992" w:hanging="567"/>
      <w:outlineLvl w:val="1"/>
    </w:pPr>
    <w:rPr>
      <w:rFonts w:ascii="黑体" w:eastAsia="黑体"/>
      <w:sz w:val="28"/>
    </w:rPr>
  </w:style>
  <w:style w:type="paragraph" w:customStyle="1" w:styleId="138">
    <w:name w:val="一级标题"/>
    <w:basedOn w:val="1"/>
    <w:next w:val="137"/>
    <w:autoRedefine/>
    <w:qFormat/>
    <w:uiPriority w:val="0"/>
    <w:pPr>
      <w:tabs>
        <w:tab w:val="left" w:pos="425"/>
      </w:tabs>
      <w:spacing w:afterLines="100"/>
      <w:ind w:left="850" w:hanging="425"/>
      <w:outlineLvl w:val="0"/>
    </w:pPr>
    <w:rPr>
      <w:rFonts w:ascii="黑体" w:eastAsia="黑体"/>
      <w:sz w:val="30"/>
      <w:szCs w:val="28"/>
    </w:rPr>
  </w:style>
  <w:style w:type="paragraph" w:customStyle="1" w:styleId="139">
    <w:name w:val="SUR-需求定义-第4级"/>
    <w:basedOn w:val="5"/>
    <w:next w:val="1"/>
    <w:autoRedefine/>
    <w:qFormat/>
    <w:uiPriority w:val="0"/>
    <w:pPr>
      <w:tabs>
        <w:tab w:val="left" w:pos="1080"/>
      </w:tabs>
      <w:spacing w:before="0" w:after="0"/>
      <w:ind w:left="-283" w:firstLine="283"/>
      <w:jc w:val="left"/>
    </w:pPr>
    <w:rPr>
      <w:rFonts w:cs="Arial"/>
      <w:b w:val="0"/>
      <w:color w:val="0000FF"/>
      <w:sz w:val="24"/>
      <w:szCs w:val="24"/>
    </w:rPr>
  </w:style>
  <w:style w:type="paragraph" w:customStyle="1" w:styleId="140">
    <w:name w:val="样式1"/>
    <w:basedOn w:val="1"/>
    <w:autoRedefine/>
    <w:qFormat/>
    <w:uiPriority w:val="0"/>
    <w:pPr>
      <w:adjustRightInd w:val="0"/>
      <w:textAlignment w:val="baseline"/>
    </w:pPr>
    <w:rPr>
      <w:rFonts w:ascii="宋体" w:hAnsi="宋体"/>
      <w:kern w:val="0"/>
      <w:szCs w:val="20"/>
    </w:rPr>
  </w:style>
  <w:style w:type="paragraph" w:customStyle="1" w:styleId="141">
    <w:name w:val="_Style 8"/>
    <w:basedOn w:val="1"/>
    <w:autoRedefine/>
    <w:qFormat/>
    <w:uiPriority w:val="0"/>
    <w:rPr>
      <w:szCs w:val="20"/>
    </w:rPr>
  </w:style>
  <w:style w:type="paragraph" w:customStyle="1" w:styleId="142">
    <w:name w:val="已访问的超链接1"/>
    <w:autoRedefine/>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43">
    <w:name w:val="Body text_"/>
    <w:autoRedefine/>
    <w:qFormat/>
    <w:uiPriority w:val="0"/>
    <w:rPr>
      <w:rFonts w:ascii="MingLiU" w:hAnsi="MingLiU" w:eastAsia="MingLiU" w:cs="MingLiU"/>
      <w:sz w:val="19"/>
      <w:szCs w:val="19"/>
      <w:shd w:val="clear" w:color="auto" w:fill="FFFFFF"/>
    </w:rPr>
  </w:style>
  <w:style w:type="character" w:customStyle="1" w:styleId="144">
    <w:name w:val="Body text + SimSun"/>
    <w:autoRedefine/>
    <w:qFormat/>
    <w:uiPriority w:val="0"/>
    <w:rPr>
      <w:rFonts w:ascii="宋体" w:hAnsi="宋体" w:eastAsia="宋体" w:cs="宋体"/>
      <w:color w:val="000000"/>
      <w:spacing w:val="0"/>
      <w:w w:val="100"/>
      <w:position w:val="0"/>
      <w:sz w:val="17"/>
      <w:szCs w:val="17"/>
      <w:shd w:val="clear" w:color="auto" w:fill="FFFFFF"/>
      <w:lang w:val="en-US"/>
    </w:rPr>
  </w:style>
  <w:style w:type="paragraph" w:customStyle="1" w:styleId="145">
    <w:name w:val="修订1"/>
    <w:autoRedefine/>
    <w:unhideWhenUsed/>
    <w:qFormat/>
    <w:uiPriority w:val="99"/>
    <w:rPr>
      <w:rFonts w:ascii="Calibri" w:hAnsi="Calibri" w:eastAsia="宋体" w:cs="Times New Roman"/>
      <w:kern w:val="2"/>
      <w:sz w:val="21"/>
      <w:lang w:val="en-US" w:eastAsia="zh-CN" w:bidi="ar-SA"/>
    </w:rPr>
  </w:style>
  <w:style w:type="table" w:customStyle="1" w:styleId="146">
    <w:name w:val="网格型1"/>
    <w:basedOn w:val="50"/>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2"/>
    <w:basedOn w:val="50"/>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8">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9">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B5624-C26D-4B16-98BA-DC17B7E62E2B}">
  <ds:schemaRefs/>
</ds:datastoreItem>
</file>

<file path=docProps/app.xml><?xml version="1.0" encoding="utf-8"?>
<Properties xmlns="http://schemas.openxmlformats.org/officeDocument/2006/extended-properties" xmlns:vt="http://schemas.openxmlformats.org/officeDocument/2006/docPropsVTypes">
  <Template>Normal.dotm</Template>
  <Company>落雪梨花——扬帆技术论坛更新版</Company>
  <Pages>21</Pages>
  <Words>1992</Words>
  <Characters>11357</Characters>
  <Lines>94</Lines>
  <Paragraphs>26</Paragraphs>
  <TotalTime>68</TotalTime>
  <ScaleCrop>false</ScaleCrop>
  <LinksUpToDate>false</LinksUpToDate>
  <CharactersWithSpaces>13323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2024-01-04T09:09:00Z</dcterms:created>
  <dc:creator>user</dc:creator>
  <cp:lastModifiedBy>长龙</cp:lastModifiedBy>
  <cp:lastPrinted>2024-01-04T11:59:00Z</cp:lastPrinted>
  <dcterms:modified xsi:type="dcterms:W3CDTF">2024-01-04T13:21:05Z</dcterms:modified>
  <dc:title>某项目需求标前公示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FDBF3CCE73CA4ED5BC87D46A8213EC74_13</vt:lpwstr>
  </property>
</Properties>
</file>