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center" w:tblpY="8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313"/>
        <w:gridCol w:w="9052"/>
        <w:gridCol w:w="1775"/>
      </w:tblGrid>
      <w:tr w14:paraId="60F4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65" w:type="pct"/>
            <w:vAlign w:val="center"/>
          </w:tcPr>
          <w:p w14:paraId="420BE084">
            <w:pPr>
              <w:jc w:val="center"/>
              <w:rPr>
                <w:rFonts w:hint="eastAsia" w:ascii="仿宋" w:hAnsi="仿宋" w:eastAsia="仿宋"/>
                <w:b/>
                <w:color w:val="000000"/>
                <w:sz w:val="24"/>
              </w:rPr>
            </w:pPr>
            <w:r>
              <w:rPr>
                <w:rFonts w:hint="eastAsia" w:ascii="仿宋" w:hAnsi="仿宋" w:eastAsia="仿宋"/>
                <w:b/>
                <w:color w:val="000000"/>
                <w:sz w:val="24"/>
              </w:rPr>
              <w:t>序号</w:t>
            </w:r>
          </w:p>
        </w:tc>
        <w:tc>
          <w:tcPr>
            <w:tcW w:w="816" w:type="pct"/>
            <w:vAlign w:val="center"/>
          </w:tcPr>
          <w:p w14:paraId="5CB0F5E1">
            <w:pPr>
              <w:jc w:val="center"/>
              <w:rPr>
                <w:rFonts w:hint="eastAsia" w:ascii="仿宋" w:hAnsi="仿宋" w:eastAsia="仿宋"/>
                <w:b/>
                <w:color w:val="000000"/>
                <w:sz w:val="24"/>
              </w:rPr>
            </w:pPr>
            <w:r>
              <w:rPr>
                <w:rFonts w:hint="eastAsia" w:ascii="仿宋" w:hAnsi="仿宋" w:eastAsia="仿宋"/>
                <w:b/>
                <w:color w:val="000000"/>
                <w:sz w:val="24"/>
              </w:rPr>
              <w:t>名 称</w:t>
            </w:r>
          </w:p>
        </w:tc>
        <w:tc>
          <w:tcPr>
            <w:tcW w:w="3193" w:type="pct"/>
          </w:tcPr>
          <w:p w14:paraId="0BD58EFC">
            <w:pPr>
              <w:jc w:val="center"/>
              <w:rPr>
                <w:rFonts w:hint="eastAsia" w:ascii="仿宋" w:hAnsi="仿宋" w:eastAsia="仿宋"/>
                <w:b/>
                <w:color w:val="000000"/>
                <w:sz w:val="24"/>
              </w:rPr>
            </w:pPr>
            <w:r>
              <w:rPr>
                <w:rFonts w:hint="eastAsia" w:ascii="仿宋" w:hAnsi="仿宋" w:eastAsia="仿宋"/>
                <w:b/>
                <w:color w:val="000000"/>
                <w:sz w:val="24"/>
              </w:rPr>
              <w:t>主要技术参数</w:t>
            </w:r>
          </w:p>
        </w:tc>
        <w:tc>
          <w:tcPr>
            <w:tcW w:w="626" w:type="pct"/>
            <w:vAlign w:val="center"/>
          </w:tcPr>
          <w:p w14:paraId="1ADB0FA6">
            <w:pPr>
              <w:jc w:val="center"/>
              <w:rPr>
                <w:rFonts w:hint="eastAsia" w:ascii="仿宋" w:hAnsi="仿宋" w:eastAsia="仿宋"/>
                <w:b/>
                <w:color w:val="000000"/>
                <w:sz w:val="24"/>
              </w:rPr>
            </w:pPr>
            <w:r>
              <w:rPr>
                <w:rFonts w:hint="eastAsia" w:ascii="仿宋" w:hAnsi="仿宋" w:eastAsia="仿宋"/>
                <w:b/>
                <w:color w:val="000000"/>
                <w:sz w:val="24"/>
              </w:rPr>
              <w:t>预算</w:t>
            </w:r>
          </w:p>
        </w:tc>
      </w:tr>
      <w:tr w14:paraId="403A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65" w:type="pct"/>
            <w:vAlign w:val="center"/>
          </w:tcPr>
          <w:p w14:paraId="0D89AEC3">
            <w:pPr>
              <w:jc w:val="center"/>
              <w:rPr>
                <w:rFonts w:hint="eastAsia" w:ascii="仿宋" w:hAnsi="仿宋" w:eastAsia="仿宋"/>
                <w:color w:val="000000"/>
                <w:sz w:val="24"/>
              </w:rPr>
            </w:pPr>
            <w:r>
              <w:rPr>
                <w:rFonts w:hint="eastAsia" w:ascii="仿宋" w:hAnsi="仿宋" w:eastAsia="仿宋"/>
                <w:color w:val="000000"/>
                <w:sz w:val="24"/>
              </w:rPr>
              <w:t>1</w:t>
            </w:r>
          </w:p>
        </w:tc>
        <w:tc>
          <w:tcPr>
            <w:tcW w:w="816" w:type="pct"/>
            <w:vAlign w:val="center"/>
          </w:tcPr>
          <w:p w14:paraId="760223D0">
            <w:pPr>
              <w:spacing w:line="360" w:lineRule="auto"/>
              <w:jc w:val="center"/>
              <w:rPr>
                <w:rFonts w:hint="eastAsia" w:ascii="仿宋" w:hAnsi="仿宋" w:eastAsia="仿宋"/>
                <w:color w:val="000000"/>
                <w:sz w:val="24"/>
              </w:rPr>
            </w:pPr>
            <w:r>
              <w:rPr>
                <w:rFonts w:hint="eastAsia" w:ascii="仿宋" w:hAnsi="仿宋" w:eastAsia="仿宋"/>
                <w:color w:val="000000"/>
                <w:sz w:val="24"/>
              </w:rPr>
              <w:t>核心路由器维保服务</w:t>
            </w:r>
          </w:p>
          <w:p w14:paraId="4B24CC83">
            <w:pPr>
              <w:autoSpaceDE w:val="0"/>
              <w:autoSpaceDN w:val="0"/>
              <w:adjustRightInd w:val="0"/>
              <w:spacing w:line="360" w:lineRule="auto"/>
              <w:jc w:val="center"/>
              <w:rPr>
                <w:rFonts w:hint="eastAsia" w:ascii="仿宋" w:hAnsi="仿宋" w:eastAsia="仿宋"/>
                <w:color w:val="000000"/>
                <w:sz w:val="24"/>
              </w:rPr>
            </w:pPr>
          </w:p>
        </w:tc>
        <w:tc>
          <w:tcPr>
            <w:tcW w:w="3193" w:type="pct"/>
          </w:tcPr>
          <w:p w14:paraId="5DC6916F">
            <w:pPr>
              <w:autoSpaceDE w:val="0"/>
              <w:autoSpaceDN w:val="0"/>
              <w:adjustRightInd w:val="0"/>
              <w:spacing w:line="360" w:lineRule="auto"/>
              <w:jc w:val="left"/>
              <w:rPr>
                <w:rFonts w:hint="eastAsia" w:ascii="仿宋" w:hAnsi="仿宋" w:eastAsia="仿宋"/>
                <w:color w:val="000000"/>
                <w:sz w:val="24"/>
              </w:rPr>
            </w:pPr>
            <w:r>
              <w:rPr>
                <w:rFonts w:hint="eastAsia" w:ascii="仿宋" w:hAnsi="仿宋" w:eastAsia="仿宋"/>
                <w:color w:val="000000"/>
                <w:sz w:val="24"/>
              </w:rPr>
              <w:t>本校核心路由器瞻博网络M</w:t>
            </w:r>
            <w:r>
              <w:rPr>
                <w:rFonts w:ascii="仿宋" w:hAnsi="仿宋" w:eastAsia="仿宋"/>
                <w:color w:val="000000"/>
                <w:sz w:val="24"/>
              </w:rPr>
              <w:t>X960</w:t>
            </w:r>
            <w:r>
              <w:rPr>
                <w:rFonts w:hint="eastAsia" w:ascii="仿宋" w:hAnsi="仿宋" w:eastAsia="仿宋"/>
                <w:color w:val="000000"/>
                <w:sz w:val="24"/>
              </w:rPr>
              <w:t>已经过保，为了保障学校校园网稳定可靠运行，需针对校园网核心路由器瞻博网络MX960提供技术支持维保服务，服务内容如下：</w:t>
            </w:r>
          </w:p>
          <w:p w14:paraId="25C632FB">
            <w:pPr>
              <w:autoSpaceDE w:val="0"/>
              <w:autoSpaceDN w:val="0"/>
              <w:adjustRightInd w:val="0"/>
              <w:spacing w:line="360" w:lineRule="auto"/>
              <w:jc w:val="left"/>
              <w:rPr>
                <w:rFonts w:hint="eastAsia" w:ascii="仿宋" w:hAnsi="仿宋" w:eastAsia="仿宋"/>
                <w:color w:val="000000"/>
                <w:sz w:val="24"/>
              </w:rPr>
            </w:pPr>
            <w:r>
              <w:rPr>
                <w:rFonts w:hint="eastAsia" w:ascii="仿宋" w:hAnsi="仿宋" w:eastAsia="仿宋"/>
                <w:color w:val="000000"/>
                <w:sz w:val="24"/>
              </w:rPr>
              <w:t>1.提供原核心路由器瞻博网络MX960整机</w:t>
            </w:r>
            <w:r>
              <w:rPr>
                <w:rFonts w:ascii="仿宋" w:hAnsi="仿宋" w:eastAsia="仿宋"/>
                <w:color w:val="000000"/>
                <w:sz w:val="24"/>
              </w:rPr>
              <w:t>1</w:t>
            </w:r>
            <w:r>
              <w:rPr>
                <w:rFonts w:hint="eastAsia" w:ascii="仿宋" w:hAnsi="仿宋" w:eastAsia="仿宋"/>
                <w:color w:val="000000"/>
                <w:sz w:val="24"/>
              </w:rPr>
              <w:t>台维保，维保服务时间为签订合同之日起一年；</w:t>
            </w:r>
            <w:r>
              <w:rPr>
                <w:rFonts w:ascii="仿宋" w:hAnsi="仿宋" w:eastAsia="仿宋"/>
                <w:color w:val="000000"/>
                <w:sz w:val="24"/>
              </w:rPr>
              <w:t xml:space="preserve"> </w:t>
            </w:r>
          </w:p>
          <w:p w14:paraId="3F9E90FD">
            <w:pPr>
              <w:autoSpaceDE w:val="0"/>
              <w:autoSpaceDN w:val="0"/>
              <w:adjustRightInd w:val="0"/>
              <w:spacing w:line="360" w:lineRule="auto"/>
              <w:jc w:val="left"/>
              <w:rPr>
                <w:rFonts w:hint="eastAsia" w:ascii="仿宋" w:hAnsi="仿宋" w:eastAsia="仿宋"/>
                <w:color w:val="000000"/>
                <w:sz w:val="24"/>
              </w:rPr>
            </w:pPr>
            <w:r>
              <w:rPr>
                <w:rFonts w:hint="eastAsia" w:ascii="仿宋" w:hAnsi="仿宋" w:eastAsia="仿宋"/>
                <w:color w:val="000000"/>
                <w:sz w:val="24"/>
              </w:rPr>
              <w:t>2.维保服务包括技术支持服务，签订合同之日起，提供重大软件故障4小时内上门支持；较大网络结构调整、网络配置调整、重要时间节点的上门技术支持；日常设备配置调整提供远程技术支持，日常季度设备巡检并出季度巡检报告；核心路由器瞻博网络MX960整机硬件质保，提供备件备机支持服务，硬件故障提供原厂硬件备件免费更换服务。</w:t>
            </w:r>
          </w:p>
          <w:p w14:paraId="7DE77CC9">
            <w:pPr>
              <w:autoSpaceDE w:val="0"/>
              <w:autoSpaceDN w:val="0"/>
              <w:adjustRightInd w:val="0"/>
              <w:spacing w:line="360" w:lineRule="auto"/>
              <w:jc w:val="left"/>
              <w:rPr>
                <w:rFonts w:hint="default" w:ascii="仿宋" w:hAnsi="仿宋" w:eastAsia="仿宋"/>
                <w:sz w:val="24"/>
                <w:lang w:val="en-US" w:eastAsia="zh-CN"/>
              </w:rPr>
            </w:pPr>
            <w:r>
              <w:rPr>
                <w:rFonts w:hint="eastAsia" w:ascii="仿宋" w:hAnsi="仿宋" w:eastAsia="仿宋"/>
                <w:color w:val="000000"/>
                <w:sz w:val="24"/>
              </w:rPr>
              <w:t>3.</w:t>
            </w:r>
            <w:r>
              <w:rPr>
                <w:rFonts w:hint="eastAsia" w:ascii="仿宋" w:hAnsi="仿宋" w:eastAsia="仿宋"/>
                <w:sz w:val="24"/>
              </w:rPr>
              <w:t xml:space="preserve"> 维保服务提供商为瞻博网络原厂认证服务提供商，投标人需提供维保服务提供商的服务承诺函及瞻博网络原厂认证服务提供商的资质证明材料（扫描件）。</w:t>
            </w:r>
          </w:p>
        </w:tc>
        <w:tc>
          <w:tcPr>
            <w:tcW w:w="626" w:type="pct"/>
            <w:vAlign w:val="center"/>
          </w:tcPr>
          <w:p w14:paraId="78DFE3FB">
            <w:pPr>
              <w:autoSpaceDE w:val="0"/>
              <w:autoSpaceDN w:val="0"/>
              <w:adjustRightInd w:val="0"/>
              <w:spacing w:line="360" w:lineRule="auto"/>
              <w:jc w:val="center"/>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lang w:val="en-US" w:eastAsia="zh-CN"/>
              </w:rPr>
              <w:t>8</w:t>
            </w:r>
            <w:r>
              <w:rPr>
                <w:rFonts w:hint="eastAsia" w:ascii="仿宋" w:hAnsi="仿宋" w:eastAsia="仿宋"/>
                <w:color w:val="000000"/>
                <w:sz w:val="24"/>
              </w:rPr>
              <w:t>万</w:t>
            </w:r>
            <w:r>
              <w:rPr>
                <w:rFonts w:ascii="仿宋" w:hAnsi="仿宋" w:eastAsia="仿宋"/>
                <w:color w:val="000000"/>
                <w:sz w:val="24"/>
              </w:rPr>
              <w:t>/</w:t>
            </w:r>
            <w:r>
              <w:rPr>
                <w:rFonts w:hint="eastAsia" w:ascii="仿宋" w:hAnsi="仿宋" w:eastAsia="仿宋"/>
                <w:color w:val="000000"/>
                <w:sz w:val="24"/>
              </w:rPr>
              <w:t>年</w:t>
            </w:r>
          </w:p>
        </w:tc>
      </w:tr>
    </w:tbl>
    <w:p w14:paraId="0CEB25C9">
      <w:r>
        <w:rPr>
          <w:rFonts w:hint="eastAsia"/>
        </w:rPr>
        <w:t>附件一：</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9E"/>
    <w:rsid w:val="001603BB"/>
    <w:rsid w:val="005241D1"/>
    <w:rsid w:val="0059509E"/>
    <w:rsid w:val="00761998"/>
    <w:rsid w:val="009E7C55"/>
    <w:rsid w:val="00A57183"/>
    <w:rsid w:val="00BD6DE4"/>
    <w:rsid w:val="530E2672"/>
    <w:rsid w:val="66AE0CCD"/>
    <w:rsid w:val="6C6E15BB"/>
    <w:rsid w:val="6D26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375</Characters>
  <Lines>24</Lines>
  <Paragraphs>28</Paragraphs>
  <TotalTime>118</TotalTime>
  <ScaleCrop>false</ScaleCrop>
  <LinksUpToDate>false</LinksUpToDate>
  <CharactersWithSpaces>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2024-03-18T03:19:00Z</dcterms:created>
  <dc:creator>H_admin</dc:creator>
  <cp:lastModifiedBy>夏新辰</cp:lastModifiedBy>
  <cp:lastPrinted>2025-04-16T04:27:00Z</cp:lastPrinted>
  <dcterms:modified xsi:type="dcterms:W3CDTF">2026-03-30T02:56:13Z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eyJoZGlkIjoiZTdjMjM3NTQ1N2UzYjc4ZjE1NzU3MWJjZmE2YzZjNjMiLCJ1c2VySWQiOiIxNTE3ODUxOTQwIn0=</vt:lpwstr>
  </property>
  <property fmtid="{D5CDD505-2E9C-101B-9397-08002B2CF9AE}" pid="3" name="KSOProductBuildVer">
    <vt:lpwstr>2052-12.1.0.25225</vt:lpwstr>
  </property>
  <property fmtid="{D5CDD505-2E9C-101B-9397-08002B2CF9AE}" pid="4" name="ICV">
    <vt:lpwstr>B676B9086CD24A73AD6D6F2578D90FE2_12</vt:lpwstr>
  </property>
</Properties>
</file>