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B521A8">
      <w:pPr>
        <w:jc w:val="center"/>
        <w:rPr>
          <w:rFonts w:hint="eastAsia" w:ascii="方正小标宋_GBK" w:hAnsi="方正小标宋_GBK" w:eastAsia="方正小标宋_GBK" w:cs="方正小标宋_GBK"/>
          <w:sz w:val="32"/>
          <w:szCs w:val="40"/>
          <w:lang w:val="en-US" w:eastAsia="zh-CN"/>
        </w:rPr>
      </w:pP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sz w:val="36"/>
          <w:szCs w:val="44"/>
          <w:lang w:eastAsia="zh-CN"/>
        </w:rPr>
        <w:t>安徽城市管理职业学院</w:t>
      </w:r>
      <w:r>
        <w:rPr>
          <w:rFonts w:hint="eastAsia" w:ascii="方正小标宋_GBK" w:hAnsi="方正小标宋_GBK" w:eastAsia="方正小标宋_GBK" w:cs="方正小标宋_GBK"/>
          <w:b/>
          <w:bCs/>
          <w:sz w:val="36"/>
          <w:szCs w:val="44"/>
          <w:lang w:val="en-US" w:eastAsia="zh-CN"/>
        </w:rPr>
        <w:t>室内监控维修更换</w:t>
      </w:r>
      <w:r>
        <w:rPr>
          <w:rFonts w:hint="eastAsia" w:ascii="方正小标宋_GBK" w:hAnsi="方正小标宋_GBK" w:eastAsia="方正小标宋_GBK" w:cs="方正小标宋_GBK"/>
          <w:sz w:val="36"/>
          <w:szCs w:val="44"/>
          <w:lang w:val="en-US" w:eastAsia="zh-CN"/>
        </w:rPr>
        <w:t>采购项目 报价表</w:t>
      </w:r>
    </w:p>
    <w:tbl>
      <w:tblPr>
        <w:tblStyle w:val="4"/>
        <w:tblW w:w="140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6"/>
        <w:gridCol w:w="1402"/>
        <w:gridCol w:w="908"/>
        <w:gridCol w:w="8754"/>
        <w:gridCol w:w="2310"/>
      </w:tblGrid>
      <w:tr w14:paraId="001527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14070" w:type="dxa"/>
            <w:gridSpan w:val="5"/>
            <w:vAlign w:val="center"/>
          </w:tcPr>
          <w:p w14:paraId="070EF58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安徽城市管理职业学院室内监控维修更换采购项目采购清单</w:t>
            </w:r>
          </w:p>
        </w:tc>
      </w:tr>
      <w:tr w14:paraId="1E2D74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696" w:type="dxa"/>
            <w:vAlign w:val="center"/>
          </w:tcPr>
          <w:p w14:paraId="4D6BB9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02" w:type="dxa"/>
            <w:vAlign w:val="center"/>
          </w:tcPr>
          <w:p w14:paraId="1A5078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服务/货物名称</w:t>
            </w:r>
          </w:p>
        </w:tc>
        <w:tc>
          <w:tcPr>
            <w:tcW w:w="908" w:type="dxa"/>
            <w:vAlign w:val="center"/>
          </w:tcPr>
          <w:p w14:paraId="2DEB804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数量</w:t>
            </w:r>
          </w:p>
        </w:tc>
        <w:tc>
          <w:tcPr>
            <w:tcW w:w="8754" w:type="dxa"/>
            <w:vAlign w:val="center"/>
          </w:tcPr>
          <w:p w14:paraId="0471D4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服务要求或货物品牌及主要参数</w:t>
            </w:r>
          </w:p>
        </w:tc>
        <w:tc>
          <w:tcPr>
            <w:tcW w:w="2310" w:type="dxa"/>
            <w:vAlign w:val="center"/>
          </w:tcPr>
          <w:p w14:paraId="407970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报价小计（元）</w:t>
            </w:r>
          </w:p>
        </w:tc>
      </w:tr>
      <w:tr w14:paraId="3545EA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8" w:hRule="atLeast"/>
        </w:trPr>
        <w:tc>
          <w:tcPr>
            <w:tcW w:w="696" w:type="dxa"/>
            <w:vAlign w:val="center"/>
          </w:tcPr>
          <w:p w14:paraId="570AC4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402" w:type="dxa"/>
            <w:vAlign w:val="center"/>
          </w:tcPr>
          <w:p w14:paraId="45BAC00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枪型网络摄像机</w:t>
            </w:r>
          </w:p>
        </w:tc>
        <w:tc>
          <w:tcPr>
            <w:tcW w:w="908" w:type="dxa"/>
            <w:vAlign w:val="center"/>
          </w:tcPr>
          <w:p w14:paraId="205542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21台</w:t>
            </w:r>
          </w:p>
        </w:tc>
        <w:tc>
          <w:tcPr>
            <w:tcW w:w="8754" w:type="dxa"/>
            <w:vAlign w:val="center"/>
          </w:tcPr>
          <w:p w14:paraId="64D13813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品牌：</w:t>
            </w:r>
          </w:p>
          <w:p w14:paraId="44DF2410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1、采用400万像素CMOS传感器，最大分辨率2592×1520。</w:t>
            </w:r>
          </w:p>
          <w:p w14:paraId="4DE6FA63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2、在2560×1440@30fps下，码率设定为2Mbps，RJ45输出，清晰度不小于1600TVL。</w:t>
            </w:r>
          </w:p>
          <w:p w14:paraId="0BC4B55E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3、最低照度彩色：0.0002 lx，黑白：0.0001 lx。</w:t>
            </w:r>
          </w:p>
          <w:p w14:paraId="0E9BBBBC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4、应具有自动增益功能，使视频信号随目标亮度的变化自动调整视频输出。</w:t>
            </w:r>
          </w:p>
          <w:p w14:paraId="72D738BD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★5、当触发报警时，视频录像帧率应自动调整至设定值，设定范围1~60帧/秒。</w:t>
            </w:r>
          </w:p>
          <w:p w14:paraId="1CDAAA5F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9、红外夜视距离：可识别距样机250m处的人体轮廓。</w:t>
            </w:r>
          </w:p>
          <w:p w14:paraId="66CF6279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 xml:space="preserve">★6、具备区域入侵、停车、越界入侵、人员聚集、快速移动、物品移除、物品遗留、徘徊、逆行、攀高、平躺起身、离岗、进入区域、离开区域等智能行为分析功能。 </w:t>
            </w:r>
          </w:p>
          <w:p w14:paraId="730A5AB3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★7、检测到电压低于8.4V或者高于19V 时，可在客户端显示图标或者播放报警提示音进行报警提示。</w:t>
            </w:r>
          </w:p>
          <w:p w14:paraId="2853F76F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★8、电源电压在DC12V士30%范围内变化时，样机应能正常工作。</w:t>
            </w:r>
          </w:p>
          <w:p w14:paraId="5E1B1AF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以上标★项为产品的核心参数，需公安部检测报告体现，并提供检测报告复印件，加盖原厂公章或投标专用章</w:t>
            </w:r>
          </w:p>
        </w:tc>
        <w:tc>
          <w:tcPr>
            <w:tcW w:w="2310" w:type="dxa"/>
            <w:vAlign w:val="center"/>
          </w:tcPr>
          <w:p w14:paraId="0E8BA89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7AB2E11C">
            <w:pPr>
              <w:pStyle w:val="2"/>
              <w:suppressLineNumbers w:val="0"/>
              <w:spacing w:beforeAutospacing="0" w:afterAutospacing="0"/>
              <w:ind w:left="0" w:right="0"/>
              <w:rPr>
                <w:rFonts w:hint="eastAsia"/>
                <w:lang w:val="en-US" w:eastAsia="zh-CN"/>
              </w:rPr>
            </w:pPr>
          </w:p>
        </w:tc>
      </w:tr>
      <w:tr w14:paraId="4AE903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</w:trPr>
        <w:tc>
          <w:tcPr>
            <w:tcW w:w="696" w:type="dxa"/>
            <w:vAlign w:val="center"/>
          </w:tcPr>
          <w:p w14:paraId="5DB465A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402" w:type="dxa"/>
            <w:vAlign w:val="center"/>
          </w:tcPr>
          <w:p w14:paraId="575665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半球摄像机</w:t>
            </w:r>
          </w:p>
        </w:tc>
        <w:tc>
          <w:tcPr>
            <w:tcW w:w="908" w:type="dxa"/>
            <w:vAlign w:val="center"/>
          </w:tcPr>
          <w:p w14:paraId="15F355A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7台</w:t>
            </w:r>
          </w:p>
        </w:tc>
        <w:tc>
          <w:tcPr>
            <w:tcW w:w="8754" w:type="dxa"/>
            <w:vAlign w:val="center"/>
          </w:tcPr>
          <w:p w14:paraId="47DA1A94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品牌：</w:t>
            </w:r>
          </w:p>
          <w:p w14:paraId="2860B4EC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1、采用400万像素CMOS传感器，最大分辨率2688×1520。</w:t>
            </w:r>
          </w:p>
          <w:p w14:paraId="29F75641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2、在2688×1520@25fps下，码率设定为1Mbps，RJ45输出，清晰度不小于1500TVL。</w:t>
            </w:r>
          </w:p>
          <w:p w14:paraId="688CF171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3、最低照度彩色：0.0002 lx，黑白：0.0001 lx。</w:t>
            </w:r>
          </w:p>
          <w:p w14:paraId="35DA82D7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4、摄像机应具有自动增益功能，使视频信号随目标亮度的变化自动调整视频输出。</w:t>
            </w:r>
          </w:p>
          <w:p w14:paraId="79C0DFCF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★5、支持红外补光。夜晚天气晴朗无遮挡，环境照度不大于1×10-4lx，开启红外灯可识别距离样机镜头150m处的人体（1.78m×0.5m）轮廓。</w:t>
            </w:r>
          </w:p>
          <w:p w14:paraId="555C2365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★6、具备绊线入侵、区域入侵、物品遗留、物品搬移，徘徊、非法停车、快速移动、人员聚集等智能行为分析功能。</w:t>
            </w:r>
          </w:p>
          <w:p w14:paraId="289710D1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★7、支持智能方案无缝切换功能，可通过菜单进行各智能方案切换配置，切换过程无需重启设备。</w:t>
            </w:r>
          </w:p>
          <w:p w14:paraId="13DA2E7F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★8、可检测到电压低于8.4V或者高于19V时，可在客户端显示图标或播放报警提示音进行报警。</w:t>
            </w:r>
          </w:p>
          <w:p w14:paraId="29D2379C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9、应在DC（12±30%）V的供电条件下正常工作。</w:t>
            </w:r>
          </w:p>
          <w:p w14:paraId="779A65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以上标★项为产品的核心参数，需公安部检测报告体现，并提供检测报告复印件，加盖原厂公章或投标专用章。</w:t>
            </w:r>
          </w:p>
        </w:tc>
        <w:tc>
          <w:tcPr>
            <w:tcW w:w="2310" w:type="dxa"/>
            <w:vAlign w:val="center"/>
          </w:tcPr>
          <w:p w14:paraId="4A8314AE">
            <w:pPr>
              <w:pStyle w:val="2"/>
              <w:suppressLineNumbers w:val="0"/>
              <w:spacing w:beforeAutospacing="0" w:afterAutospacing="0"/>
              <w:ind w:left="0" w:right="0"/>
              <w:rPr>
                <w:rFonts w:hint="eastAsia"/>
                <w:lang w:val="en-US" w:eastAsia="zh-CN"/>
              </w:rPr>
            </w:pPr>
          </w:p>
        </w:tc>
      </w:tr>
      <w:tr w14:paraId="646BBE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9" w:hRule="atLeast"/>
        </w:trPr>
        <w:tc>
          <w:tcPr>
            <w:tcW w:w="696" w:type="dxa"/>
            <w:shd w:val="clear" w:color="auto" w:fill="auto"/>
            <w:vAlign w:val="center"/>
          </w:tcPr>
          <w:p w14:paraId="0541E0A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402" w:type="dxa"/>
            <w:shd w:val="clear" w:color="auto" w:fill="auto"/>
            <w:vAlign w:val="center"/>
          </w:tcPr>
          <w:p w14:paraId="02F263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六类网线</w:t>
            </w:r>
          </w:p>
        </w:tc>
        <w:tc>
          <w:tcPr>
            <w:tcW w:w="908" w:type="dxa"/>
            <w:shd w:val="clear" w:color="auto" w:fill="auto"/>
            <w:vAlign w:val="center"/>
          </w:tcPr>
          <w:p w14:paraId="10A228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3箱</w:t>
            </w:r>
          </w:p>
        </w:tc>
        <w:tc>
          <w:tcPr>
            <w:tcW w:w="8754" w:type="dxa"/>
            <w:vAlign w:val="center"/>
          </w:tcPr>
          <w:p w14:paraId="46691262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导体直径：0.57±0.02 mm，护套材料：PVC，绝缘层材料：PE；</w:t>
            </w:r>
          </w:p>
          <w:p w14:paraId="117B21C3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具有十字骨架，电缆外径：6.1±0.2 mm；</w:t>
            </w:r>
          </w:p>
          <w:p w14:paraId="69ED434F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燃烧性能：通过YD/T 1019中规定的单根电缆火焰垂直蔓延试验；</w:t>
            </w:r>
          </w:p>
          <w:p w14:paraId="6AA3F1B5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单根导体直流电阻：≤7.5Ω/100m at 20℃；</w:t>
            </w:r>
          </w:p>
          <w:p w14:paraId="3FD03197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★5、为保证前端设备的运行稳定，六类非屏蔽系统需满足GB/T 9254.2和GB/T 17999.2电磁兼容的要求。（投标文件中提供具有CMA或CNAS标识的第三方机构出具的检测报告扫描件）</w:t>
            </w:r>
          </w:p>
        </w:tc>
        <w:tc>
          <w:tcPr>
            <w:tcW w:w="2310" w:type="dxa"/>
            <w:vAlign w:val="center"/>
          </w:tcPr>
          <w:p w14:paraId="721E8692">
            <w:pPr>
              <w:pStyle w:val="2"/>
              <w:suppressLineNumbers w:val="0"/>
              <w:spacing w:beforeAutospacing="0" w:afterAutospacing="0"/>
              <w:ind w:left="0" w:right="0"/>
              <w:rPr>
                <w:rFonts w:hint="eastAsia"/>
                <w:lang w:val="en-US" w:eastAsia="zh-CN"/>
              </w:rPr>
            </w:pPr>
          </w:p>
        </w:tc>
      </w:tr>
      <w:tr w14:paraId="743726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atLeast"/>
        </w:trPr>
        <w:tc>
          <w:tcPr>
            <w:tcW w:w="696" w:type="dxa"/>
            <w:shd w:val="clear" w:color="auto" w:fill="auto"/>
            <w:vAlign w:val="center"/>
          </w:tcPr>
          <w:p w14:paraId="6EA599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402" w:type="dxa"/>
            <w:shd w:val="clear" w:color="auto" w:fill="auto"/>
            <w:vAlign w:val="center"/>
          </w:tcPr>
          <w:p w14:paraId="69B4333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光纤收发器</w:t>
            </w:r>
          </w:p>
        </w:tc>
        <w:tc>
          <w:tcPr>
            <w:tcW w:w="908" w:type="dxa"/>
            <w:shd w:val="clear" w:color="auto" w:fill="auto"/>
            <w:vAlign w:val="center"/>
          </w:tcPr>
          <w:p w14:paraId="6FE4C9A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1对</w:t>
            </w:r>
          </w:p>
        </w:tc>
        <w:tc>
          <w:tcPr>
            <w:tcW w:w="8754" w:type="dxa"/>
            <w:vAlign w:val="center"/>
          </w:tcPr>
          <w:p w14:paraId="21366B29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1个10/100/1000Mbps自适应RJ45电口，1个1000Mbps SC光口，最大传输距离3kM，非网管型光纤收发器，与RG-FC11G-3B或者RG-FC14G-3B配套使用，可配合RG-FCR14收发器机架使用。</w:t>
            </w:r>
          </w:p>
        </w:tc>
        <w:tc>
          <w:tcPr>
            <w:tcW w:w="2310" w:type="dxa"/>
            <w:vAlign w:val="center"/>
          </w:tcPr>
          <w:p w14:paraId="477A8475">
            <w:pPr>
              <w:pStyle w:val="2"/>
              <w:suppressLineNumbers w:val="0"/>
              <w:spacing w:beforeAutospacing="0" w:afterAutospacing="0"/>
              <w:ind w:left="0" w:right="0"/>
              <w:rPr>
                <w:rFonts w:hint="eastAsia"/>
                <w:lang w:val="en-US" w:eastAsia="zh-CN"/>
              </w:rPr>
            </w:pPr>
          </w:p>
        </w:tc>
      </w:tr>
      <w:tr w14:paraId="384C25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696" w:type="dxa"/>
            <w:shd w:val="clear" w:color="auto" w:fill="auto"/>
            <w:vAlign w:val="center"/>
          </w:tcPr>
          <w:p w14:paraId="67E661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402" w:type="dxa"/>
            <w:shd w:val="clear" w:color="auto" w:fill="auto"/>
            <w:vAlign w:val="center"/>
          </w:tcPr>
          <w:p w14:paraId="538B5B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维修、安装、系统集成服务</w:t>
            </w:r>
          </w:p>
        </w:tc>
        <w:tc>
          <w:tcPr>
            <w:tcW w:w="908" w:type="dxa"/>
            <w:shd w:val="clear" w:color="auto" w:fill="auto"/>
            <w:vAlign w:val="center"/>
          </w:tcPr>
          <w:p w14:paraId="531AD1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1项</w:t>
            </w:r>
          </w:p>
        </w:tc>
        <w:tc>
          <w:tcPr>
            <w:tcW w:w="8754" w:type="dxa"/>
            <w:vAlign w:val="center"/>
          </w:tcPr>
          <w:p w14:paraId="5E70627A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监控设备的维修、安装、调试，线缆的敷设、交换机、辅材、对接平台授权等。</w:t>
            </w:r>
          </w:p>
        </w:tc>
        <w:tc>
          <w:tcPr>
            <w:tcW w:w="2310" w:type="dxa"/>
            <w:vAlign w:val="center"/>
          </w:tcPr>
          <w:p w14:paraId="7C16A8D7">
            <w:pPr>
              <w:pStyle w:val="2"/>
              <w:suppressLineNumbers w:val="0"/>
              <w:spacing w:beforeAutospacing="0" w:afterAutospacing="0"/>
              <w:ind w:left="0" w:right="0"/>
              <w:rPr>
                <w:rFonts w:hint="eastAsia"/>
                <w:lang w:val="en-US" w:eastAsia="zh-CN"/>
              </w:rPr>
            </w:pPr>
          </w:p>
        </w:tc>
      </w:tr>
      <w:tr w14:paraId="3A42A1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</w:trPr>
        <w:tc>
          <w:tcPr>
            <w:tcW w:w="696" w:type="dxa"/>
            <w:vAlign w:val="center"/>
          </w:tcPr>
          <w:p w14:paraId="55469A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总报价</w:t>
            </w:r>
          </w:p>
        </w:tc>
        <w:tc>
          <w:tcPr>
            <w:tcW w:w="13374" w:type="dxa"/>
            <w:gridSpan w:val="4"/>
            <w:vAlign w:val="center"/>
          </w:tcPr>
          <w:p w14:paraId="49E4B01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大写：                                小写：</w:t>
            </w:r>
          </w:p>
        </w:tc>
      </w:tr>
    </w:tbl>
    <w:p w14:paraId="6AD1FF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本单位承诺，本次报价真实有效，本表传真、扫描件、PDF文件同原件具有相同效力，报价有效期10个工作日。</w:t>
      </w:r>
    </w:p>
    <w:p w14:paraId="001629F7">
      <w:pPr>
        <w:pStyle w:val="2"/>
        <w:rPr>
          <w:rFonts w:hint="eastAsia"/>
          <w:lang w:val="en-US" w:eastAsia="zh-CN"/>
        </w:rPr>
      </w:pPr>
    </w:p>
    <w:p w14:paraId="3E5BF8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    报价单位名称（盖章）：</w:t>
      </w:r>
    </w:p>
    <w:p w14:paraId="333B47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righ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报价日期：2026年    月    日</w:t>
      </w:r>
    </w:p>
    <w:sectPr>
      <w:pgSz w:w="16838" w:h="11906" w:orient="landscape"/>
      <w:pgMar w:top="1800" w:right="1440" w:bottom="1800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27E712F-9B7E-4173-AE1D-60F49E74618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AAE30CC-5C11-479B-B315-92212F734DB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211DEDF-94A1-4F7D-B03B-A133BF5D51F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275C206-CF55-4D66-896A-699FEC3788D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78D398B6-FA81-40ED-9F25-EFAE14BFA42A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C8DC9C76-2903-4E68-A5B0-3E83A7203116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6C150F77-6A6C-4718-BFB4-F7DD27410C3E}"/>
  </w:font>
  <w:font w:name="WPSEMBED1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B099603"/>
    <w:multiLevelType w:val="singleLevel"/>
    <w:tmpl w:val="3B09960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IzNzhjMzFjODE4NzRhNDNhYzdiZTJlYzkzY2FiZDYifQ=="/>
  </w:docVars>
  <w:rsids>
    <w:rsidRoot w:val="00000000"/>
    <w:rsid w:val="001A64C4"/>
    <w:rsid w:val="00237A6E"/>
    <w:rsid w:val="00384B9C"/>
    <w:rsid w:val="005A1AE4"/>
    <w:rsid w:val="00FC206D"/>
    <w:rsid w:val="0179546C"/>
    <w:rsid w:val="02300221"/>
    <w:rsid w:val="024B37C5"/>
    <w:rsid w:val="02BE378E"/>
    <w:rsid w:val="03136468"/>
    <w:rsid w:val="03190CB5"/>
    <w:rsid w:val="03A2514E"/>
    <w:rsid w:val="03A56FEA"/>
    <w:rsid w:val="03C42A20"/>
    <w:rsid w:val="03E37CED"/>
    <w:rsid w:val="040A30C4"/>
    <w:rsid w:val="040D7558"/>
    <w:rsid w:val="05111DBD"/>
    <w:rsid w:val="05780A0D"/>
    <w:rsid w:val="05C313AC"/>
    <w:rsid w:val="05FD6965"/>
    <w:rsid w:val="06367DD0"/>
    <w:rsid w:val="0659586C"/>
    <w:rsid w:val="0680104B"/>
    <w:rsid w:val="06D82C35"/>
    <w:rsid w:val="074141AF"/>
    <w:rsid w:val="077741FC"/>
    <w:rsid w:val="07D275D3"/>
    <w:rsid w:val="08B374B6"/>
    <w:rsid w:val="094401F6"/>
    <w:rsid w:val="09B3042B"/>
    <w:rsid w:val="09C52784"/>
    <w:rsid w:val="0A5B1955"/>
    <w:rsid w:val="0A6D7B38"/>
    <w:rsid w:val="0B154375"/>
    <w:rsid w:val="0B993A42"/>
    <w:rsid w:val="0BCA3494"/>
    <w:rsid w:val="0BE300B2"/>
    <w:rsid w:val="0BF91683"/>
    <w:rsid w:val="0CA81750"/>
    <w:rsid w:val="0D26294C"/>
    <w:rsid w:val="0D9378B6"/>
    <w:rsid w:val="0D9A342E"/>
    <w:rsid w:val="0DF60822"/>
    <w:rsid w:val="0E2B5D40"/>
    <w:rsid w:val="0E407A3D"/>
    <w:rsid w:val="0E43752E"/>
    <w:rsid w:val="0F1862C4"/>
    <w:rsid w:val="0F2B2993"/>
    <w:rsid w:val="10C832D6"/>
    <w:rsid w:val="10FD39C4"/>
    <w:rsid w:val="11B36778"/>
    <w:rsid w:val="11FD79F3"/>
    <w:rsid w:val="1226519C"/>
    <w:rsid w:val="123E18C8"/>
    <w:rsid w:val="12B12E9C"/>
    <w:rsid w:val="12C14EC5"/>
    <w:rsid w:val="12C66037"/>
    <w:rsid w:val="12E7492B"/>
    <w:rsid w:val="12E7605E"/>
    <w:rsid w:val="130D3C66"/>
    <w:rsid w:val="144B2C98"/>
    <w:rsid w:val="14F96B98"/>
    <w:rsid w:val="15821143"/>
    <w:rsid w:val="15AF54A9"/>
    <w:rsid w:val="15FD6214"/>
    <w:rsid w:val="1621504F"/>
    <w:rsid w:val="166612E2"/>
    <w:rsid w:val="168D3A3C"/>
    <w:rsid w:val="169721C5"/>
    <w:rsid w:val="16ED44DA"/>
    <w:rsid w:val="17846AC4"/>
    <w:rsid w:val="17986384"/>
    <w:rsid w:val="17CC40F0"/>
    <w:rsid w:val="1899064E"/>
    <w:rsid w:val="18B67C54"/>
    <w:rsid w:val="18D92F68"/>
    <w:rsid w:val="18D94D16"/>
    <w:rsid w:val="191E310A"/>
    <w:rsid w:val="19306900"/>
    <w:rsid w:val="193261D5"/>
    <w:rsid w:val="193308A8"/>
    <w:rsid w:val="197B7B7C"/>
    <w:rsid w:val="19CF6119"/>
    <w:rsid w:val="19E25E4D"/>
    <w:rsid w:val="19E51482"/>
    <w:rsid w:val="19F138D9"/>
    <w:rsid w:val="1B520DB0"/>
    <w:rsid w:val="1C183DA8"/>
    <w:rsid w:val="1C2D292F"/>
    <w:rsid w:val="1C4E1577"/>
    <w:rsid w:val="1C58699D"/>
    <w:rsid w:val="1C766D20"/>
    <w:rsid w:val="1C93342E"/>
    <w:rsid w:val="1D3C1D18"/>
    <w:rsid w:val="1D3F5364"/>
    <w:rsid w:val="1D412E8A"/>
    <w:rsid w:val="1D41732E"/>
    <w:rsid w:val="1DAC3DB6"/>
    <w:rsid w:val="1E360515"/>
    <w:rsid w:val="1FA45952"/>
    <w:rsid w:val="1FF97A4C"/>
    <w:rsid w:val="20B41BC5"/>
    <w:rsid w:val="20CA3197"/>
    <w:rsid w:val="21130FE1"/>
    <w:rsid w:val="21BD0CDC"/>
    <w:rsid w:val="22A00653"/>
    <w:rsid w:val="22CA56D0"/>
    <w:rsid w:val="22E447AD"/>
    <w:rsid w:val="22EB3FC4"/>
    <w:rsid w:val="231D51A8"/>
    <w:rsid w:val="23204D36"/>
    <w:rsid w:val="23386ADD"/>
    <w:rsid w:val="23447230"/>
    <w:rsid w:val="237D2742"/>
    <w:rsid w:val="24722CC9"/>
    <w:rsid w:val="256040C9"/>
    <w:rsid w:val="2666009C"/>
    <w:rsid w:val="26AA1AA0"/>
    <w:rsid w:val="26B172D2"/>
    <w:rsid w:val="26BA120B"/>
    <w:rsid w:val="26CB51A1"/>
    <w:rsid w:val="26D43AA3"/>
    <w:rsid w:val="26F71427"/>
    <w:rsid w:val="270349E6"/>
    <w:rsid w:val="27626616"/>
    <w:rsid w:val="27D843EB"/>
    <w:rsid w:val="27FA6A57"/>
    <w:rsid w:val="289E3886"/>
    <w:rsid w:val="29193321"/>
    <w:rsid w:val="29363EA1"/>
    <w:rsid w:val="2A325F72"/>
    <w:rsid w:val="2A385615"/>
    <w:rsid w:val="2A600AAE"/>
    <w:rsid w:val="2A7523C5"/>
    <w:rsid w:val="2AD25A69"/>
    <w:rsid w:val="2B165705"/>
    <w:rsid w:val="2B1C4F36"/>
    <w:rsid w:val="2B230073"/>
    <w:rsid w:val="2B603075"/>
    <w:rsid w:val="2BD9316B"/>
    <w:rsid w:val="2BE27F2E"/>
    <w:rsid w:val="2C1A1476"/>
    <w:rsid w:val="2C7F72DA"/>
    <w:rsid w:val="2CAD22EA"/>
    <w:rsid w:val="2CF021D7"/>
    <w:rsid w:val="2D744BB6"/>
    <w:rsid w:val="2D850B71"/>
    <w:rsid w:val="2DA5410B"/>
    <w:rsid w:val="2DDB2E87"/>
    <w:rsid w:val="2E2A2AA1"/>
    <w:rsid w:val="2E2F7EAA"/>
    <w:rsid w:val="2E734E6D"/>
    <w:rsid w:val="2E8E1CA7"/>
    <w:rsid w:val="2EED10C4"/>
    <w:rsid w:val="2EF266DA"/>
    <w:rsid w:val="2F6678EA"/>
    <w:rsid w:val="2F792957"/>
    <w:rsid w:val="2FDC6A42"/>
    <w:rsid w:val="2FDD5C8B"/>
    <w:rsid w:val="30534F57"/>
    <w:rsid w:val="30872912"/>
    <w:rsid w:val="30DF03BE"/>
    <w:rsid w:val="30ED5D71"/>
    <w:rsid w:val="30F73B34"/>
    <w:rsid w:val="31D02BD2"/>
    <w:rsid w:val="31D22039"/>
    <w:rsid w:val="32AC44BB"/>
    <w:rsid w:val="3361798A"/>
    <w:rsid w:val="3386234D"/>
    <w:rsid w:val="33C614FC"/>
    <w:rsid w:val="344A2B14"/>
    <w:rsid w:val="34CE2DFE"/>
    <w:rsid w:val="352E5F92"/>
    <w:rsid w:val="355D23D3"/>
    <w:rsid w:val="363F4A21"/>
    <w:rsid w:val="36632AEA"/>
    <w:rsid w:val="368E7C0F"/>
    <w:rsid w:val="369E0EF6"/>
    <w:rsid w:val="36BB5176"/>
    <w:rsid w:val="372238D5"/>
    <w:rsid w:val="38237904"/>
    <w:rsid w:val="38392C6D"/>
    <w:rsid w:val="383B0E27"/>
    <w:rsid w:val="38482EC7"/>
    <w:rsid w:val="39671A73"/>
    <w:rsid w:val="39736669"/>
    <w:rsid w:val="39930E3E"/>
    <w:rsid w:val="3A0D445B"/>
    <w:rsid w:val="3AA60379"/>
    <w:rsid w:val="3B7020C1"/>
    <w:rsid w:val="3B732C00"/>
    <w:rsid w:val="3C446452"/>
    <w:rsid w:val="3D5C0337"/>
    <w:rsid w:val="3D7C3A0F"/>
    <w:rsid w:val="3D924F4F"/>
    <w:rsid w:val="3DC74762"/>
    <w:rsid w:val="3E613934"/>
    <w:rsid w:val="3E86299B"/>
    <w:rsid w:val="3E9949BE"/>
    <w:rsid w:val="3F620D12"/>
    <w:rsid w:val="3F8C5F9F"/>
    <w:rsid w:val="402736CA"/>
    <w:rsid w:val="40436D96"/>
    <w:rsid w:val="405014B2"/>
    <w:rsid w:val="405C39B3"/>
    <w:rsid w:val="407C4056"/>
    <w:rsid w:val="40B3559D"/>
    <w:rsid w:val="40C94DC1"/>
    <w:rsid w:val="410D0A09"/>
    <w:rsid w:val="41202C33"/>
    <w:rsid w:val="419E624E"/>
    <w:rsid w:val="41AB3BB0"/>
    <w:rsid w:val="41D76E5C"/>
    <w:rsid w:val="421502BE"/>
    <w:rsid w:val="42333E44"/>
    <w:rsid w:val="43807B29"/>
    <w:rsid w:val="43CA157C"/>
    <w:rsid w:val="458A2D71"/>
    <w:rsid w:val="458C0701"/>
    <w:rsid w:val="46767799"/>
    <w:rsid w:val="47867B95"/>
    <w:rsid w:val="47F73389"/>
    <w:rsid w:val="47FF18A6"/>
    <w:rsid w:val="4803569E"/>
    <w:rsid w:val="49155047"/>
    <w:rsid w:val="49AB775A"/>
    <w:rsid w:val="49F5018E"/>
    <w:rsid w:val="4A286FFC"/>
    <w:rsid w:val="4AFA62A3"/>
    <w:rsid w:val="4B052E99"/>
    <w:rsid w:val="4B182BCD"/>
    <w:rsid w:val="4B4B3E7C"/>
    <w:rsid w:val="4B9A7474"/>
    <w:rsid w:val="4C2F4672"/>
    <w:rsid w:val="4CCB42DA"/>
    <w:rsid w:val="4D0D1FD3"/>
    <w:rsid w:val="4D454229"/>
    <w:rsid w:val="4D7F6F33"/>
    <w:rsid w:val="4D9F3131"/>
    <w:rsid w:val="4DC40DEA"/>
    <w:rsid w:val="4DD21759"/>
    <w:rsid w:val="4E001996"/>
    <w:rsid w:val="4E612ADD"/>
    <w:rsid w:val="4E683E6B"/>
    <w:rsid w:val="4EB250E6"/>
    <w:rsid w:val="4EF15C0F"/>
    <w:rsid w:val="4F292FE0"/>
    <w:rsid w:val="4FEB4D54"/>
    <w:rsid w:val="50B96C00"/>
    <w:rsid w:val="50D37CC2"/>
    <w:rsid w:val="514E559A"/>
    <w:rsid w:val="51967EC1"/>
    <w:rsid w:val="51A84704"/>
    <w:rsid w:val="51AB479B"/>
    <w:rsid w:val="523302EC"/>
    <w:rsid w:val="52EF33D4"/>
    <w:rsid w:val="532C5467"/>
    <w:rsid w:val="537806AC"/>
    <w:rsid w:val="53FD5FE7"/>
    <w:rsid w:val="541F5446"/>
    <w:rsid w:val="54394525"/>
    <w:rsid w:val="55564A1D"/>
    <w:rsid w:val="5577646D"/>
    <w:rsid w:val="55FD30EB"/>
    <w:rsid w:val="56811F6E"/>
    <w:rsid w:val="568630E0"/>
    <w:rsid w:val="57237983"/>
    <w:rsid w:val="574B60D8"/>
    <w:rsid w:val="583A23D4"/>
    <w:rsid w:val="58EE608F"/>
    <w:rsid w:val="598B0D06"/>
    <w:rsid w:val="59A675E4"/>
    <w:rsid w:val="59F32A1E"/>
    <w:rsid w:val="5A2A4581"/>
    <w:rsid w:val="5ABD553F"/>
    <w:rsid w:val="5AF05812"/>
    <w:rsid w:val="5C4E46A0"/>
    <w:rsid w:val="5D0E2082"/>
    <w:rsid w:val="5D5932FD"/>
    <w:rsid w:val="5E4C10B3"/>
    <w:rsid w:val="5E59732C"/>
    <w:rsid w:val="5E79231D"/>
    <w:rsid w:val="5EFD0600"/>
    <w:rsid w:val="5F9B6172"/>
    <w:rsid w:val="5FD27396"/>
    <w:rsid w:val="60675D31"/>
    <w:rsid w:val="60EF68D6"/>
    <w:rsid w:val="61B51549"/>
    <w:rsid w:val="61C979E8"/>
    <w:rsid w:val="620B6B90"/>
    <w:rsid w:val="62362151"/>
    <w:rsid w:val="62791D4B"/>
    <w:rsid w:val="62EA0E9B"/>
    <w:rsid w:val="63C35974"/>
    <w:rsid w:val="64B27796"/>
    <w:rsid w:val="653D3504"/>
    <w:rsid w:val="65554CF2"/>
    <w:rsid w:val="65B86B53"/>
    <w:rsid w:val="65F75C5A"/>
    <w:rsid w:val="66680A54"/>
    <w:rsid w:val="67350ED2"/>
    <w:rsid w:val="67452B44"/>
    <w:rsid w:val="67897DDC"/>
    <w:rsid w:val="67DA7730"/>
    <w:rsid w:val="67F7228C"/>
    <w:rsid w:val="68152516"/>
    <w:rsid w:val="68D51CA5"/>
    <w:rsid w:val="68EE1575"/>
    <w:rsid w:val="68FE744E"/>
    <w:rsid w:val="69137C36"/>
    <w:rsid w:val="693F2A7E"/>
    <w:rsid w:val="6A097E59"/>
    <w:rsid w:val="6A3C1FDC"/>
    <w:rsid w:val="6ACA3A8C"/>
    <w:rsid w:val="6B480E55"/>
    <w:rsid w:val="6B637A3C"/>
    <w:rsid w:val="6B81470D"/>
    <w:rsid w:val="6C1C4E12"/>
    <w:rsid w:val="6C2B2308"/>
    <w:rsid w:val="6C9C6D62"/>
    <w:rsid w:val="6CAB3449"/>
    <w:rsid w:val="6D286079"/>
    <w:rsid w:val="6D8A2BE8"/>
    <w:rsid w:val="6D904215"/>
    <w:rsid w:val="6DB620A5"/>
    <w:rsid w:val="6E091D76"/>
    <w:rsid w:val="6E910CC8"/>
    <w:rsid w:val="6E934195"/>
    <w:rsid w:val="6ECB1B80"/>
    <w:rsid w:val="6EDC5B3C"/>
    <w:rsid w:val="6F413BF1"/>
    <w:rsid w:val="6F541B76"/>
    <w:rsid w:val="6F593630"/>
    <w:rsid w:val="6F865AA7"/>
    <w:rsid w:val="6F8B1310"/>
    <w:rsid w:val="6FB90E41"/>
    <w:rsid w:val="6FF62C2D"/>
    <w:rsid w:val="704C4F43"/>
    <w:rsid w:val="709A7A5C"/>
    <w:rsid w:val="70F65308"/>
    <w:rsid w:val="71997D14"/>
    <w:rsid w:val="71B725C2"/>
    <w:rsid w:val="71CD5C10"/>
    <w:rsid w:val="722D3353"/>
    <w:rsid w:val="72510A2B"/>
    <w:rsid w:val="726C71D7"/>
    <w:rsid w:val="728358AE"/>
    <w:rsid w:val="72971A7F"/>
    <w:rsid w:val="72B33AB6"/>
    <w:rsid w:val="72B50B7E"/>
    <w:rsid w:val="731D2D5A"/>
    <w:rsid w:val="733221CE"/>
    <w:rsid w:val="739D7782"/>
    <w:rsid w:val="73AA6208"/>
    <w:rsid w:val="747C26C7"/>
    <w:rsid w:val="74890514"/>
    <w:rsid w:val="748A603A"/>
    <w:rsid w:val="74956EB9"/>
    <w:rsid w:val="74974543"/>
    <w:rsid w:val="74982505"/>
    <w:rsid w:val="762E2F79"/>
    <w:rsid w:val="764861AD"/>
    <w:rsid w:val="76B924DE"/>
    <w:rsid w:val="76CA582B"/>
    <w:rsid w:val="780A196C"/>
    <w:rsid w:val="787212BF"/>
    <w:rsid w:val="789316BC"/>
    <w:rsid w:val="78CC4E73"/>
    <w:rsid w:val="78E473AD"/>
    <w:rsid w:val="79627778"/>
    <w:rsid w:val="799A6D1F"/>
    <w:rsid w:val="79C2414A"/>
    <w:rsid w:val="7A646166"/>
    <w:rsid w:val="7AB67B89"/>
    <w:rsid w:val="7ADD3367"/>
    <w:rsid w:val="7AE33B9A"/>
    <w:rsid w:val="7B2263EB"/>
    <w:rsid w:val="7BD858DD"/>
    <w:rsid w:val="7C776FD7"/>
    <w:rsid w:val="7C7B2E38"/>
    <w:rsid w:val="7C827E8F"/>
    <w:rsid w:val="7CE23FC7"/>
    <w:rsid w:val="7D567401"/>
    <w:rsid w:val="7DAB14FB"/>
    <w:rsid w:val="7E3D3FBC"/>
    <w:rsid w:val="7E9E2E0E"/>
    <w:rsid w:val="7EAF6DC9"/>
    <w:rsid w:val="7F480059"/>
    <w:rsid w:val="7FEB46C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beforeLines="0" w:after="260" w:afterLines="0" w:line="416" w:lineRule="auto"/>
      <w:outlineLvl w:val="1"/>
    </w:pPr>
    <w:rPr>
      <w:rFonts w:ascii="Cambria" w:hAnsi="Cambria" w:eastAsia="宋体"/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Calibri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font01"/>
    <w:basedOn w:val="5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1054</Words>
  <Characters>1299</Characters>
  <Lines>0</Lines>
  <Paragraphs>0</Paragraphs>
  <TotalTime>28</TotalTime>
  <ScaleCrop>false</ScaleCrop>
  <LinksUpToDate>false</LinksUpToDate>
  <CharactersWithSpaces>1314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2026-04-07T01:44:19Z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SaveFontToCloudKey">
    <vt:lpwstr>10437954_embed</vt:lpwstr>
  </property>
  <property fmtid="{D5CDD505-2E9C-101B-9397-08002B2CF9AE}" pid="4" name="ICV">
    <vt:lpwstr>1F389A9E10334DA0A43ECBAF55A0E46D_13</vt:lpwstr>
  </property>
  <property fmtid="{D5CDD505-2E9C-101B-9397-08002B2CF9AE}" pid="5" name="KSOTemplateDocerSaveRecord">
    <vt:lpwstr>eyJoZGlkIjoiZjI1NjBlOWRmOTcwYWM2Mjg4OTM2NzhmMmEyMjVmM2QiLCJ1c2VySWQiOiI2MjMyMTgxODIifQ==</vt:lpwstr>
  </property>
</Properties>
</file>