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96" w:rsidRDefault="00C71396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安徽省技能型高水平大学建设标准</w:t>
      </w:r>
      <w:r w:rsidRPr="005C7F8C">
        <w:rPr>
          <w:rFonts w:ascii="方正小标宋_GBK" w:eastAsia="方正小标宋_GBK" w:hint="eastAsia"/>
          <w:sz w:val="32"/>
          <w:szCs w:val="32"/>
        </w:rPr>
        <w:t>（试行）</w:t>
      </w:r>
    </w:p>
    <w:p w:rsidR="00C71396" w:rsidRDefault="00C71396">
      <w:pPr>
        <w:jc w:val="center"/>
      </w:pPr>
      <w:r>
        <w:t xml:space="preserve"> </w:t>
      </w:r>
    </w:p>
    <w:p w:rsidR="00C71396" w:rsidRDefault="00C71396">
      <w:pPr>
        <w:jc w:val="center"/>
      </w:pPr>
    </w:p>
    <w:p w:rsidR="00C71396" w:rsidRDefault="00C71396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229"/>
      </w:tblGrid>
      <w:tr w:rsidR="00C71396">
        <w:trPr>
          <w:trHeight w:val="424"/>
        </w:trPr>
        <w:tc>
          <w:tcPr>
            <w:tcW w:w="1101" w:type="dxa"/>
          </w:tcPr>
          <w:p w:rsidR="00C71396" w:rsidRDefault="00C71396">
            <w:pPr>
              <w:jc w:val="center"/>
              <w:rPr>
                <w:b/>
                <w:bCs/>
                <w:u w:color="FFFFFF"/>
              </w:rPr>
            </w:pPr>
            <w:r>
              <w:rPr>
                <w:rFonts w:hint="eastAsia"/>
                <w:b/>
                <w:bCs/>
                <w:u w:val="single" w:color="FFFFFF"/>
              </w:rPr>
              <w:t>指</w:t>
            </w:r>
            <w:r>
              <w:rPr>
                <w:b/>
                <w:bCs/>
                <w:u w:val="single" w:color="FFFFFF"/>
              </w:rPr>
              <w:t xml:space="preserve"> </w:t>
            </w:r>
            <w:r>
              <w:rPr>
                <w:rFonts w:hint="eastAsia"/>
                <w:b/>
                <w:bCs/>
                <w:u w:val="single" w:color="FFFFFF"/>
              </w:rPr>
              <w:t>标</w:t>
            </w:r>
          </w:p>
        </w:tc>
        <w:tc>
          <w:tcPr>
            <w:tcW w:w="7229" w:type="dxa"/>
          </w:tcPr>
          <w:p w:rsidR="00C71396" w:rsidRDefault="00C71396">
            <w:pPr>
              <w:jc w:val="center"/>
              <w:rPr>
                <w:b/>
                <w:bCs/>
                <w:u w:color="FFFFFF"/>
              </w:rPr>
            </w:pPr>
            <w:r>
              <w:rPr>
                <w:rFonts w:hint="eastAsia"/>
                <w:b/>
                <w:bCs/>
                <w:u w:val="single" w:color="FFFFFF"/>
              </w:rPr>
              <w:t>标</w:t>
            </w:r>
            <w:r>
              <w:rPr>
                <w:b/>
                <w:bCs/>
                <w:u w:val="single" w:color="FFFFFF"/>
              </w:rPr>
              <w:t xml:space="preserve">  </w:t>
            </w:r>
            <w:r>
              <w:rPr>
                <w:rFonts w:hint="eastAsia"/>
                <w:b/>
                <w:bCs/>
                <w:u w:val="single" w:color="FFFFFF"/>
              </w:rPr>
              <w:t>准</w:t>
            </w:r>
          </w:p>
        </w:tc>
      </w:tr>
      <w:tr w:rsidR="00C71396">
        <w:trPr>
          <w:trHeight w:val="1765"/>
        </w:trPr>
        <w:tc>
          <w:tcPr>
            <w:tcW w:w="1101" w:type="dxa"/>
          </w:tcPr>
          <w:p w:rsidR="00C71396" w:rsidRDefault="00C71396"/>
          <w:p w:rsidR="00C71396" w:rsidRDefault="00C71396">
            <w:pPr>
              <w:jc w:val="center"/>
              <w:rPr>
                <w:b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办学</w:t>
            </w:r>
          </w:p>
          <w:p w:rsidR="00C71396" w:rsidRDefault="00C71396">
            <w:pPr>
              <w:jc w:val="center"/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定位</w:t>
            </w:r>
          </w:p>
        </w:tc>
        <w:tc>
          <w:tcPr>
            <w:tcW w:w="7229" w:type="dxa"/>
          </w:tcPr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办学方向。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在党的坚强领导下，全面贯彻党的教育方针，坚持社会主义办学方向，以立德树人为根本任务，培养德智体美劳全面发展的社会主义建设者和接班人。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学校治理。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坚持党委领导下的校长负责制，充分发挥党委总揽全局、协调各方的领导核心作用；推进学校治理体系和治理能力现代化。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党委会、校长办公会纪要；学院章程。</w:t>
            </w: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发展规划。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与安徽经济社会发展同步规划、与产业升级和新型产业发展同步实施、与技术进步同步升级，促进人才培养供给侧和产业需求侧结构要素全方位融合。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学校发展规划等。</w:t>
            </w:r>
          </w:p>
          <w:p w:rsidR="00C71396" w:rsidRDefault="003140D8" w:rsidP="008700B9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3140D8">
              <w:rPr>
                <w:rFonts w:ascii="方正仿宋_GBK" w:eastAsia="方正仿宋_GBK" w:hAnsi="仿宋" w:cs="仿宋"/>
                <w:b/>
                <w:sz w:val="28"/>
                <w:szCs w:val="28"/>
              </w:rPr>
              <w:t>4.</w:t>
            </w:r>
            <w:r w:rsidR="00C71396"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专业设置。</w:t>
            </w:r>
            <w:r w:rsidR="00C71396">
              <w:rPr>
                <w:rFonts w:ascii="方正仿宋_GBK" w:eastAsia="方正仿宋_GBK" w:hAnsi="仿宋" w:cs="仿宋" w:hint="eastAsia"/>
                <w:sz w:val="28"/>
                <w:szCs w:val="28"/>
              </w:rPr>
              <w:t>专业设置与地方产业结构相匹配；能随产业升级和新兴产业动态调整专业和改造传统专业，适应产业变革和新经济发展，形成特色鲜明的专业供给。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学校专业发展规划等；专业设置与区域重点产业匹配度达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以上（行业类院校专业设置需能够覆盖和服务行业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以上的岗位）；安徽本地就业率达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70%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以上（市属院校在本市区域内就业率达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以上或省内就业率达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70%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以上）；在高成长企业或中小微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企业就业率达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以上；与国内知名企业或行业领军企业共建专业比例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以上。</w:t>
            </w:r>
          </w:p>
        </w:tc>
      </w:tr>
      <w:tr w:rsidR="00C71396">
        <w:trPr>
          <w:trHeight w:val="90"/>
        </w:trPr>
        <w:tc>
          <w:tcPr>
            <w:tcW w:w="1101" w:type="dxa"/>
          </w:tcPr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widowControl/>
              <w:spacing w:line="580" w:lineRule="exac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技术技能人才培养</w:t>
            </w:r>
          </w:p>
        </w:tc>
        <w:tc>
          <w:tcPr>
            <w:tcW w:w="7229" w:type="dxa"/>
          </w:tcPr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5.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培养目标定位。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在满足专业人才培养目标前提下，部分专业要以培养“高精尖缺”技术技能人才为专业人才培养目标，实现高定位的培养目标；落实国家专业标准，鼓励制订实施高于国家标准的校本标准；实行</w:t>
            </w:r>
            <w:r w:rsidR="009B02FE" w:rsidRPr="009B02FE">
              <w:rPr>
                <w:rFonts w:ascii="方正仿宋_GBK" w:eastAsia="方正仿宋_GBK" w:hAnsi="仿宋" w:cs="仿宋" w:hint="eastAsia"/>
                <w:sz w:val="28"/>
                <w:szCs w:val="28"/>
              </w:rPr>
              <w:t>1+X(学历证书+职业技能等级证书) 证书制度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专业人才培养方案、校本标准等；“高精尖缺”技术技能人才比例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以上；在校生取得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X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证书人数不少于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6.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产教融合、校企合作。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促进教育链、人才链与产业链、创新链有机衔接的产教融合，深化“引企入教”改革，与知名行业企业建立产教联盟，共同开发专业标准、课程标准和人才质量标准，建立职业教育模式标准；优选业内领先企业开展现代学徒制培养，在技术性、实践性较强的专业探索“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天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+2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天”的教学组织形式。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共同开发的相关标准等；成为教育部或省批准的现代学徒制和企业新型学徒制试点单位；各类订单班、现代学徒制等参与人数占比达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7.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品牌专业（群）建设。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瞄准地方产业发展前沿建设一流品牌专业（群），在地方或行业内有较高的知名度；探索专业（群）联合知名企业建设特色产业学院，共同建设专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业（群）；重视专业资源建设，职业教育专业教学资源库建设成效明显。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有特色产业学院；省级重点建设（示范、特色等）专业达到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个；国家级重点建设专业达到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以上；主持（含联合）国家级（或备选）职业教育专业教学资源库或不少于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4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个专业参与国家级职业教育专业教学资源库建设。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8.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课程改革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强调理论与实践的融合，依据行动导向，紧贴岗位实际工作过程，大力推进项目化和任务化课程建设，动态更新课程内容，建立职业教育课程标准；充分利用信息化技术改造传统课堂，提升教学效果，推进虚拟工厂等网络学习空间建设和普遍应用；教材随信息技术发展和产业升级及时动态调整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有国家级精品在线开放课程或省级以上精品在线开放课程达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门以上；有校企“双元”合作开发的国家级教材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种以上；利用信息化手段完成课堂教学的教师比例达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以上；近三年省级以上教学能力大赛获奖数达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项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年以上或国家级教学能力大赛获奖数达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项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9.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创新创业教育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。以创新带动创业、推进专业教育基础上的创新创业教育；建成具有鲜明职业教育特色的创新创业课程体系；形成一批产教融合的创新创业服务模式。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创新创业课程体系；校友毕业三年内创业率达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以上；校内创业孵化存活率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40%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lastRenderedPageBreak/>
              <w:t>10.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人才培养质量与教学成果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。建立健全专业人才培养质量标准，定期发布高等职业教育质量年度报告；社会认可度高，企业满意度高；建立健全三级职业技能竞赛体制机制；注重总结教学成果。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学校质量年度报告等；学生报考率、报到率均居全省高职院校前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1/3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；有国家教学成果奖或省级教学一等奖以上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项以上；省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(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部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)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级技能大赛获奖数每年达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个（财经、政法、体育、艺术院校达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</w:t>
            </w:r>
            <w:r w:rsidR="00D15B33">
              <w:rPr>
                <w:rFonts w:ascii="方正仿宋_GBK" w:eastAsia="方正仿宋_GBK" w:hAnsi="仿宋" w:cs="仿宋" w:hint="eastAsia"/>
                <w:sz w:val="28"/>
                <w:szCs w:val="28"/>
              </w:rPr>
              <w:t>个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）以上；全国职业技能大赛获奖数每年达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个（财经、政法、体育、艺术院校达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4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个）以上。</w:t>
            </w:r>
          </w:p>
        </w:tc>
      </w:tr>
      <w:tr w:rsidR="00C71396">
        <w:trPr>
          <w:trHeight w:val="90"/>
        </w:trPr>
        <w:tc>
          <w:tcPr>
            <w:tcW w:w="1101" w:type="dxa"/>
          </w:tcPr>
          <w:p w:rsidR="00C71396" w:rsidRDefault="00C71396">
            <w:pPr>
              <w:jc w:val="center"/>
            </w:pPr>
          </w:p>
          <w:p w:rsidR="00C71396" w:rsidRDefault="00C71396">
            <w:pPr>
              <w:jc w:val="center"/>
              <w:rPr>
                <w:b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center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师资队伍建设</w:t>
            </w:r>
          </w:p>
        </w:tc>
        <w:tc>
          <w:tcPr>
            <w:tcW w:w="7229" w:type="dxa"/>
          </w:tcPr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师资队伍建设水平。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坚持把教师队伍建设作为基础工作，培育一支有理想信念、有道德情操、有扎实学识、有仁爱之心的教师队伍；落实教师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年一周期的全员轮训制度，具有支持教师持续提升教学水平和实践能力的制度机制并运行良好。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师资队伍建设规划等；师生比达到或超过《普通高等学校基本办学条件指标》要求；重点建设专业具有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名高水平专业带头人；省部级以上教学名师、优秀教学团队、专业领军人才、高校优秀青年人才数量排名在全省前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 /3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；拥有海外留学、访学经历的国际水平的领军人才和高水平创新团队。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“双师型”教师队伍建设。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培养和引进“双师型”教师，优化“双师”队伍结构；实施“双师”教师素质提高计划，落实全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员轮训；注重吸引高水平行业精英和企业骨干来校任教。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专任专业课教师每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年在行业企业实践累计半年以上，每年至少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个月在企业或实训基地实训；专业课教师“双师型”比例达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70%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）以上；“双师型”教师与学生比例达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1:25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；企业一线兼职教师占专业课教师比例达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以上；有技能大师工作室。</w:t>
            </w:r>
          </w:p>
        </w:tc>
      </w:tr>
      <w:tr w:rsidR="00C71396">
        <w:trPr>
          <w:trHeight w:val="1878"/>
        </w:trPr>
        <w:tc>
          <w:tcPr>
            <w:tcW w:w="1101" w:type="dxa"/>
          </w:tcPr>
          <w:p w:rsidR="00C71396" w:rsidRDefault="00C71396">
            <w:pPr>
              <w:jc w:val="center"/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4.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科技研发应用与社会服务</w:t>
            </w:r>
          </w:p>
        </w:tc>
        <w:tc>
          <w:tcPr>
            <w:tcW w:w="7229" w:type="dxa"/>
          </w:tcPr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研发应用。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建立技术研发、成果转化、应用推广“一体化”机制；校企合作攻关、课题研究和技术革新，解决技术难题；协同创新水平高。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技术服务到款额（横向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纵向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技术交易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非学历培训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公益性培训服务）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万元（财经、政法、体育、艺术院校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万元；师范、医学院校达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万元）以上；有应用技术协同创新中心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14.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成果开发与转化。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建立技术成果孵化转移新体制，鼓励教师从事成果开发和转化活动，探索以成果完成人、转化人为分配主体的成果收益分配机制；提升民族传统工艺的高保真传承和高水平创新；重视知识产权成果的开发与保护。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年均授权专利数达到在校生数的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0.1%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0.05%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；师范、医学院校有专利）以上；技术成果转化数量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个（财经、政法、体育、艺术院校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个；师范、医学院校有技术转化）以上。</w:t>
            </w:r>
          </w:p>
          <w:p w:rsidR="00C71396" w:rsidRDefault="00C71396" w:rsidP="008700B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lastRenderedPageBreak/>
              <w:t>15.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社会服务。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探索建立类型链（继续教育、自考、远程）、层次链（专、本、硕）和形式链（培训、鉴定、认证）融合发展的全方位社会服务新模式，助力学习型社会建设。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培训和鉴定人次达到普通在校生规模的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1.2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倍（财经、政法、体育、艺术院校和师范、医学院校达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0.6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倍）以上；继续教育规模达到普通在校生规模的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1/2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以上；职业教育师资培训人次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人次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年；有省级以上职业教育师资培训基地。</w:t>
            </w:r>
          </w:p>
        </w:tc>
      </w:tr>
      <w:tr w:rsidR="00C71396">
        <w:trPr>
          <w:trHeight w:val="1020"/>
        </w:trPr>
        <w:tc>
          <w:tcPr>
            <w:tcW w:w="1101" w:type="dxa"/>
          </w:tcPr>
          <w:p w:rsidR="00C71396" w:rsidRDefault="00C71396">
            <w:pPr>
              <w:rPr>
                <w:color w:val="0000FF"/>
              </w:rPr>
            </w:pPr>
          </w:p>
          <w:p w:rsidR="00BF1AD0" w:rsidRDefault="00C71396" w:rsidP="00676A72">
            <w:pPr>
              <w:ind w:firstLineChars="300" w:firstLine="840"/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 xml:space="preserve"> </w:t>
            </w:r>
          </w:p>
          <w:p w:rsidR="00BF1AD0" w:rsidRDefault="00BF1AD0" w:rsidP="00676A72">
            <w:pPr>
              <w:ind w:firstLineChars="300" w:firstLine="840"/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 w:rsidP="008700B9">
            <w:pPr>
              <w:jc w:val="lef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5.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校园文化</w:t>
            </w: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C71396" w:rsidRPr="00D70BAD" w:rsidRDefault="00C71396" w:rsidP="00D70BAD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16.</w:t>
            </w:r>
            <w:r w:rsidRPr="00D70BAD">
              <w:rPr>
                <w:rFonts w:ascii="方正仿宋_GBK" w:eastAsia="方正仿宋_GBK" w:hAnsi="仿宋" w:cs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文化</w:t>
            </w:r>
            <w:r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育</w:t>
            </w: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人。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把社会主义核心价值观融入学校发展各方面，培养学生工匠精神，厚植工匠文化，建立职业教育素养标准，打造具有学校自身特色的校园文化。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主要监测内容和指标：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校园文化建设发展规划；文化育人体系等；获省部级以上文明单位或文明校园称号；获得省部级表彰的优秀毕业生学生；校园文化建设方面的省部级媒体报道新闻；校园文化品牌活动等。</w:t>
            </w:r>
          </w:p>
          <w:p w:rsidR="00C71396" w:rsidRPr="00D70BAD" w:rsidRDefault="00C71396" w:rsidP="00D70BAD">
            <w:pPr>
              <w:widowControl/>
              <w:spacing w:line="580" w:lineRule="exact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/>
                <w:b/>
                <w:bCs/>
                <w:color w:val="000000"/>
                <w:sz w:val="28"/>
                <w:szCs w:val="28"/>
              </w:rPr>
              <w:t>17.</w:t>
            </w: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管理文化。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完善作风建设机制，厘清部门职能职责，加强权力运行制约和监督，强化内控体系建设；丰富领导和师生交流渠道，提高民主管理水平；倡导包容文化，建立容错机制，营造良好的校园人文生态。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主要监测内容和指标：</w:t>
            </w:r>
            <w:r w:rsidRPr="00D70BAD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学校“三定方案”；党务校务公开情况；学校内控手册等；校领导与师生交流沟通等活动记录；学术委员会活动记录。</w:t>
            </w:r>
          </w:p>
          <w:p w:rsidR="00C71396" w:rsidRDefault="003140D8" w:rsidP="00717262">
            <w:pPr>
              <w:widowControl/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3140D8">
              <w:rPr>
                <w:rFonts w:ascii="方正仿宋_GBK" w:eastAsia="方正仿宋_GBK" w:hAnsi="仿宋" w:cs="仿宋"/>
                <w:b/>
                <w:color w:val="000000"/>
                <w:sz w:val="28"/>
                <w:szCs w:val="28"/>
              </w:rPr>
              <w:t>18.</w:t>
            </w:r>
            <w:r w:rsidRPr="003140D8">
              <w:rPr>
                <w:rFonts w:ascii="方正仿宋_GBK" w:eastAsia="方正仿宋_GBK" w:hAnsi="仿宋" w:cs="仿宋" w:hint="eastAsia"/>
                <w:b/>
                <w:color w:val="000000"/>
                <w:sz w:val="28"/>
                <w:szCs w:val="28"/>
              </w:rPr>
              <w:t>校</w:t>
            </w:r>
            <w:r w:rsidR="00C71396">
              <w:rPr>
                <w:rFonts w:ascii="方正仿宋_GBK" w:eastAsia="方正仿宋_GBK" w:hAnsi="仿宋" w:cs="仿宋" w:hint="eastAsia"/>
                <w:b/>
                <w:sz w:val="28"/>
                <w:szCs w:val="28"/>
              </w:rPr>
              <w:t>园环境。</w:t>
            </w:r>
            <w:r w:rsidR="00C71396">
              <w:rPr>
                <w:rFonts w:ascii="方正仿宋_GBK" w:eastAsia="方正仿宋_GBK" w:hAnsi="仿宋" w:cs="仿宋" w:hint="eastAsia"/>
                <w:sz w:val="28"/>
                <w:szCs w:val="28"/>
              </w:rPr>
              <w:t>校园布局合理、环境优美、生态和谐。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70BAD"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b/>
                <w:bCs/>
                <w:color w:val="000000"/>
                <w:sz w:val="28"/>
                <w:szCs w:val="28"/>
              </w:rPr>
              <w:t>校容校貌、校园环境设施等</w:t>
            </w:r>
          </w:p>
        </w:tc>
      </w:tr>
      <w:tr w:rsidR="00C71396">
        <w:trPr>
          <w:trHeight w:val="1500"/>
        </w:trPr>
        <w:tc>
          <w:tcPr>
            <w:tcW w:w="1101" w:type="dxa"/>
          </w:tcPr>
          <w:p w:rsidR="00C71396" w:rsidRDefault="00C71396"/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 w:rsidP="00840109">
            <w:pPr>
              <w:jc w:val="left"/>
              <w:rPr>
                <w:color w:val="0000FF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6.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开放办学</w:t>
            </w:r>
          </w:p>
        </w:tc>
        <w:tc>
          <w:tcPr>
            <w:tcW w:w="7229" w:type="dxa"/>
          </w:tcPr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19.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国际交流。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积极拓展国际交流；引进高水平教育资源；吸引“一带一路”沿线国家学生接受教育；承接“走出去”海外员工的职业教育培训。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具有经教育主管部门批准的中外合作办学项目或国际教育交流项目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个以上。具有服务相关行业企业“走出去”的技术服务和技能培训项目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个以上。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20.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开放办学。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联合职业院校和相关企业组建职业教育集团或联盟，发展成紧密型职业教育集团，完善集团内部产权制度和利益共享机制；推进“学分银行”建设和应用促进学历证书和职业技能等级证书融通。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职教集团运行机制、“学分银行”方案；学历证书和职业技能等级证书融通办法。</w:t>
            </w:r>
          </w:p>
        </w:tc>
      </w:tr>
      <w:tr w:rsidR="00C71396">
        <w:trPr>
          <w:trHeight w:val="90"/>
        </w:trPr>
        <w:tc>
          <w:tcPr>
            <w:tcW w:w="1101" w:type="dxa"/>
          </w:tcPr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</w:pPr>
          </w:p>
          <w:p w:rsidR="00C71396" w:rsidRDefault="00C71396">
            <w:pPr>
              <w:jc w:val="left"/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7.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条件保障</w:t>
            </w:r>
          </w:p>
        </w:tc>
        <w:tc>
          <w:tcPr>
            <w:tcW w:w="7229" w:type="dxa"/>
          </w:tcPr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21.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基础条件。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校园规划布局合理、环境优美、生态和谐；校园基础设施、实践教学条件优越；推动基于物联网、移动互联、大数据、云计算、人工智能的学校治理方式变革，建成功能先进的智慧校园和完善的信息化服务体系。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校园建设规划；生均占地面积、各类建筑和场所面积等条件超过国家规定的建设标准；理工农医类院校生均教学科研仪器设备值达到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8 000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生以上；财经、政法、体育、艺术院校生均教学科研仪器设备值达到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6000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生以上；生均信息化投入值达到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2000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/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生以上。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22.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经费投入。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主管部门或举办者拨付的经费充足，能够满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lastRenderedPageBreak/>
              <w:t>足学校事业发展的需要；学校用于教学经费的比例高，主要经费投入教学一线。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年生均办学经费水平达到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12000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元以上（含财政拨款和其他经费来源）；学校用于教学经费的比例达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以上，其中实践教学经费占生均教学经费达到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50%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（财经、政法、体育、艺术院校达到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>30%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）以上。</w:t>
            </w:r>
          </w:p>
          <w:p w:rsidR="00C71396" w:rsidRDefault="00C71396" w:rsidP="00840109">
            <w:pPr>
              <w:widowControl/>
              <w:tabs>
                <w:tab w:val="left" w:pos="312"/>
              </w:tabs>
              <w:spacing w:line="58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/>
                <w:b/>
                <w:bCs/>
                <w:sz w:val="28"/>
                <w:szCs w:val="28"/>
              </w:rPr>
              <w:t>23.</w:t>
            </w: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保障体系。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学校具备完整严谨的教学体系，规范的管理制度；全面实施教学工作诊断与改进制度，形成常态化的内部质量保证制度体系和运行机制。</w:t>
            </w:r>
          </w:p>
          <w:p w:rsidR="00BF1AD0" w:rsidRDefault="00C71396" w:rsidP="00676A72">
            <w:pPr>
              <w:widowControl/>
              <w:spacing w:line="58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b/>
                <w:bCs/>
                <w:sz w:val="28"/>
                <w:szCs w:val="28"/>
              </w:rPr>
              <w:t>主要监测内容和指标：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教学工作诊断方案；诊改复核等级达到“有效”。</w:t>
            </w:r>
          </w:p>
        </w:tc>
      </w:tr>
    </w:tbl>
    <w:p w:rsidR="00C71396" w:rsidRDefault="00C71396"/>
    <w:sectPr w:rsidR="00C71396" w:rsidSect="00C71396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02" w:rsidRDefault="00D12802" w:rsidP="00EB3E93">
      <w:r>
        <w:separator/>
      </w:r>
    </w:p>
  </w:endnote>
  <w:endnote w:type="continuationSeparator" w:id="0">
    <w:p w:rsidR="00D12802" w:rsidRDefault="00D12802" w:rsidP="00EB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96" w:rsidRDefault="00C71396">
    <w:pPr>
      <w:pStyle w:val="a5"/>
      <w:tabs>
        <w:tab w:val="left" w:pos="6923"/>
      </w:tabs>
    </w:pPr>
    <w:r>
      <w:tab/>
    </w:r>
    <w:r w:rsidR="00D12802">
      <w:fldChar w:fldCharType="begin"/>
    </w:r>
    <w:r w:rsidR="00D12802">
      <w:instrText xml:space="preserve"> PAGE   \* MERGEFORMAT </w:instrText>
    </w:r>
    <w:r w:rsidR="00D12802">
      <w:fldChar w:fldCharType="separate"/>
    </w:r>
    <w:r w:rsidR="00676A72" w:rsidRPr="00676A72">
      <w:rPr>
        <w:noProof/>
        <w:lang w:val="zh-CN"/>
      </w:rPr>
      <w:t>2</w:t>
    </w:r>
    <w:r w:rsidR="00D12802">
      <w:rPr>
        <w:noProof/>
        <w:lang w:val="zh-CN"/>
      </w:rPr>
      <w:fldChar w:fldCharType="end"/>
    </w:r>
    <w:r>
      <w:tab/>
    </w:r>
  </w:p>
  <w:p w:rsidR="00C71396" w:rsidRDefault="00C713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02" w:rsidRDefault="00D12802" w:rsidP="00EB3E93">
      <w:r>
        <w:separator/>
      </w:r>
    </w:p>
  </w:footnote>
  <w:footnote w:type="continuationSeparator" w:id="0">
    <w:p w:rsidR="00D12802" w:rsidRDefault="00D12802" w:rsidP="00EB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8EBA2"/>
    <w:multiLevelType w:val="singleLevel"/>
    <w:tmpl w:val="AB98EBA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B2B1DFFC"/>
    <w:multiLevelType w:val="singleLevel"/>
    <w:tmpl w:val="B2B1DFF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EC6C434D"/>
    <w:multiLevelType w:val="singleLevel"/>
    <w:tmpl w:val="EC6C434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FBED15BB"/>
    <w:multiLevelType w:val="singleLevel"/>
    <w:tmpl w:val="FBED15B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13B00E21"/>
    <w:multiLevelType w:val="singleLevel"/>
    <w:tmpl w:val="13B00E21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>
    <w:nsid w:val="4142298A"/>
    <w:multiLevelType w:val="singleLevel"/>
    <w:tmpl w:val="4142298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6">
    <w:nsid w:val="6C85DB70"/>
    <w:multiLevelType w:val="singleLevel"/>
    <w:tmpl w:val="6C85DB7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676C"/>
    <w:rsid w:val="00037890"/>
    <w:rsid w:val="00045ABE"/>
    <w:rsid w:val="000C0A3A"/>
    <w:rsid w:val="000C64FF"/>
    <w:rsid w:val="000F240D"/>
    <w:rsid w:val="00116123"/>
    <w:rsid w:val="00116FB3"/>
    <w:rsid w:val="00117C8F"/>
    <w:rsid w:val="00135491"/>
    <w:rsid w:val="001510C8"/>
    <w:rsid w:val="001530EC"/>
    <w:rsid w:val="00171257"/>
    <w:rsid w:val="00171C32"/>
    <w:rsid w:val="00172A27"/>
    <w:rsid w:val="001734C4"/>
    <w:rsid w:val="00177422"/>
    <w:rsid w:val="001959DC"/>
    <w:rsid w:val="00196196"/>
    <w:rsid w:val="001A7300"/>
    <w:rsid w:val="001B389D"/>
    <w:rsid w:val="001B6ED0"/>
    <w:rsid w:val="001F191C"/>
    <w:rsid w:val="001F5473"/>
    <w:rsid w:val="00221E40"/>
    <w:rsid w:val="00223F62"/>
    <w:rsid w:val="002319D6"/>
    <w:rsid w:val="00265F89"/>
    <w:rsid w:val="00270281"/>
    <w:rsid w:val="00282023"/>
    <w:rsid w:val="002964F1"/>
    <w:rsid w:val="002D6786"/>
    <w:rsid w:val="002E05E5"/>
    <w:rsid w:val="003140D8"/>
    <w:rsid w:val="0034045B"/>
    <w:rsid w:val="00361C3F"/>
    <w:rsid w:val="003624BC"/>
    <w:rsid w:val="00366708"/>
    <w:rsid w:val="0039014D"/>
    <w:rsid w:val="003B30A3"/>
    <w:rsid w:val="003E1AA8"/>
    <w:rsid w:val="003F3E5F"/>
    <w:rsid w:val="003F5E4D"/>
    <w:rsid w:val="0040370C"/>
    <w:rsid w:val="00406A0C"/>
    <w:rsid w:val="00411745"/>
    <w:rsid w:val="00411C92"/>
    <w:rsid w:val="00425290"/>
    <w:rsid w:val="004268D4"/>
    <w:rsid w:val="00427E0D"/>
    <w:rsid w:val="004360AA"/>
    <w:rsid w:val="00445F27"/>
    <w:rsid w:val="00451BD2"/>
    <w:rsid w:val="0046342D"/>
    <w:rsid w:val="00470996"/>
    <w:rsid w:val="0047225A"/>
    <w:rsid w:val="004901BF"/>
    <w:rsid w:val="0049121B"/>
    <w:rsid w:val="00494C17"/>
    <w:rsid w:val="004B4A35"/>
    <w:rsid w:val="004B6429"/>
    <w:rsid w:val="004D7726"/>
    <w:rsid w:val="00500813"/>
    <w:rsid w:val="00515886"/>
    <w:rsid w:val="005242BF"/>
    <w:rsid w:val="00544EDE"/>
    <w:rsid w:val="005465BE"/>
    <w:rsid w:val="00550C37"/>
    <w:rsid w:val="005746B6"/>
    <w:rsid w:val="00586045"/>
    <w:rsid w:val="005976A7"/>
    <w:rsid w:val="005A6D77"/>
    <w:rsid w:val="005B1D4E"/>
    <w:rsid w:val="005B39C9"/>
    <w:rsid w:val="005C7F8C"/>
    <w:rsid w:val="005E3E32"/>
    <w:rsid w:val="005F10BA"/>
    <w:rsid w:val="005F115F"/>
    <w:rsid w:val="005F56E6"/>
    <w:rsid w:val="006128DE"/>
    <w:rsid w:val="00633DA6"/>
    <w:rsid w:val="006479FA"/>
    <w:rsid w:val="00652E4A"/>
    <w:rsid w:val="0065335F"/>
    <w:rsid w:val="00654E8B"/>
    <w:rsid w:val="00667D6D"/>
    <w:rsid w:val="00675F87"/>
    <w:rsid w:val="00676A72"/>
    <w:rsid w:val="00680ECE"/>
    <w:rsid w:val="00693C39"/>
    <w:rsid w:val="00697546"/>
    <w:rsid w:val="006C78D3"/>
    <w:rsid w:val="006F44F3"/>
    <w:rsid w:val="00717262"/>
    <w:rsid w:val="00782337"/>
    <w:rsid w:val="00782971"/>
    <w:rsid w:val="007E464E"/>
    <w:rsid w:val="007F1FB3"/>
    <w:rsid w:val="00800FF2"/>
    <w:rsid w:val="0082774D"/>
    <w:rsid w:val="00840109"/>
    <w:rsid w:val="00843921"/>
    <w:rsid w:val="008700B9"/>
    <w:rsid w:val="00873048"/>
    <w:rsid w:val="008837E1"/>
    <w:rsid w:val="008A24A1"/>
    <w:rsid w:val="008D3F77"/>
    <w:rsid w:val="00906AED"/>
    <w:rsid w:val="009208DD"/>
    <w:rsid w:val="009246AF"/>
    <w:rsid w:val="0092601E"/>
    <w:rsid w:val="00977CAF"/>
    <w:rsid w:val="00991D2E"/>
    <w:rsid w:val="00992778"/>
    <w:rsid w:val="0099784D"/>
    <w:rsid w:val="009A2B4A"/>
    <w:rsid w:val="009B02FE"/>
    <w:rsid w:val="009B26F0"/>
    <w:rsid w:val="009C7ED0"/>
    <w:rsid w:val="009D1415"/>
    <w:rsid w:val="009F47AE"/>
    <w:rsid w:val="00A430F4"/>
    <w:rsid w:val="00A607C0"/>
    <w:rsid w:val="00A82AF5"/>
    <w:rsid w:val="00A8333D"/>
    <w:rsid w:val="00A92356"/>
    <w:rsid w:val="00A95C48"/>
    <w:rsid w:val="00AB02FD"/>
    <w:rsid w:val="00AC2915"/>
    <w:rsid w:val="00AC2A8F"/>
    <w:rsid w:val="00AC48B1"/>
    <w:rsid w:val="00AD0E1F"/>
    <w:rsid w:val="00AD7265"/>
    <w:rsid w:val="00AE019E"/>
    <w:rsid w:val="00AE1BF1"/>
    <w:rsid w:val="00AE3F81"/>
    <w:rsid w:val="00AE4269"/>
    <w:rsid w:val="00AE66A2"/>
    <w:rsid w:val="00AF18D9"/>
    <w:rsid w:val="00AF7A57"/>
    <w:rsid w:val="00B03339"/>
    <w:rsid w:val="00B14C1C"/>
    <w:rsid w:val="00B30F8B"/>
    <w:rsid w:val="00B3782C"/>
    <w:rsid w:val="00B43BB7"/>
    <w:rsid w:val="00B53157"/>
    <w:rsid w:val="00B56044"/>
    <w:rsid w:val="00B60233"/>
    <w:rsid w:val="00B743A5"/>
    <w:rsid w:val="00B8709F"/>
    <w:rsid w:val="00B95BF3"/>
    <w:rsid w:val="00BB6FFC"/>
    <w:rsid w:val="00BB7DF8"/>
    <w:rsid w:val="00BD79CF"/>
    <w:rsid w:val="00BE0394"/>
    <w:rsid w:val="00BE3224"/>
    <w:rsid w:val="00BF1AD0"/>
    <w:rsid w:val="00C21DA9"/>
    <w:rsid w:val="00C36E01"/>
    <w:rsid w:val="00C435E3"/>
    <w:rsid w:val="00C5379B"/>
    <w:rsid w:val="00C658C3"/>
    <w:rsid w:val="00C71396"/>
    <w:rsid w:val="00C919A3"/>
    <w:rsid w:val="00CA75C1"/>
    <w:rsid w:val="00CD429F"/>
    <w:rsid w:val="00CD64B5"/>
    <w:rsid w:val="00CE08AA"/>
    <w:rsid w:val="00CF3C3F"/>
    <w:rsid w:val="00D10AAE"/>
    <w:rsid w:val="00D12802"/>
    <w:rsid w:val="00D15B33"/>
    <w:rsid w:val="00D32E4C"/>
    <w:rsid w:val="00D46D89"/>
    <w:rsid w:val="00D60950"/>
    <w:rsid w:val="00D70BAD"/>
    <w:rsid w:val="00D8241E"/>
    <w:rsid w:val="00D8400B"/>
    <w:rsid w:val="00D908C0"/>
    <w:rsid w:val="00DA41B3"/>
    <w:rsid w:val="00DC0361"/>
    <w:rsid w:val="00DC6024"/>
    <w:rsid w:val="00DD30FF"/>
    <w:rsid w:val="00DF6344"/>
    <w:rsid w:val="00DF6B32"/>
    <w:rsid w:val="00E07C1E"/>
    <w:rsid w:val="00E115B6"/>
    <w:rsid w:val="00E37B71"/>
    <w:rsid w:val="00E44523"/>
    <w:rsid w:val="00E557EA"/>
    <w:rsid w:val="00E620CA"/>
    <w:rsid w:val="00E64458"/>
    <w:rsid w:val="00E97406"/>
    <w:rsid w:val="00E975C5"/>
    <w:rsid w:val="00EA5C17"/>
    <w:rsid w:val="00EB3E93"/>
    <w:rsid w:val="00EC2053"/>
    <w:rsid w:val="00EC3FD3"/>
    <w:rsid w:val="00ED4ED8"/>
    <w:rsid w:val="00EE2A14"/>
    <w:rsid w:val="00F32988"/>
    <w:rsid w:val="00F42054"/>
    <w:rsid w:val="00F4621D"/>
    <w:rsid w:val="00F6547A"/>
    <w:rsid w:val="00F71FD0"/>
    <w:rsid w:val="00F72751"/>
    <w:rsid w:val="00F92841"/>
    <w:rsid w:val="00F95AA1"/>
    <w:rsid w:val="00FB1E1B"/>
    <w:rsid w:val="00FB373A"/>
    <w:rsid w:val="01282E5E"/>
    <w:rsid w:val="01E8501F"/>
    <w:rsid w:val="020B16BB"/>
    <w:rsid w:val="02BF43F5"/>
    <w:rsid w:val="02F06A5D"/>
    <w:rsid w:val="04706539"/>
    <w:rsid w:val="09A35FB9"/>
    <w:rsid w:val="124955B5"/>
    <w:rsid w:val="12CD3243"/>
    <w:rsid w:val="164963BA"/>
    <w:rsid w:val="18A13CFD"/>
    <w:rsid w:val="1A1301D2"/>
    <w:rsid w:val="1C233108"/>
    <w:rsid w:val="1C904541"/>
    <w:rsid w:val="1FDC0243"/>
    <w:rsid w:val="225560C7"/>
    <w:rsid w:val="276936FE"/>
    <w:rsid w:val="29AE18B2"/>
    <w:rsid w:val="2C712E89"/>
    <w:rsid w:val="2D50560D"/>
    <w:rsid w:val="2EB95F25"/>
    <w:rsid w:val="3098633A"/>
    <w:rsid w:val="346E4D1D"/>
    <w:rsid w:val="362A7A5D"/>
    <w:rsid w:val="36755259"/>
    <w:rsid w:val="38151B71"/>
    <w:rsid w:val="39324DCF"/>
    <w:rsid w:val="3AF36035"/>
    <w:rsid w:val="3C4F5FAA"/>
    <w:rsid w:val="3FCC0339"/>
    <w:rsid w:val="41D57CA9"/>
    <w:rsid w:val="41FB5790"/>
    <w:rsid w:val="453B517C"/>
    <w:rsid w:val="464B1274"/>
    <w:rsid w:val="4A05593F"/>
    <w:rsid w:val="4CC90339"/>
    <w:rsid w:val="4CE154D6"/>
    <w:rsid w:val="4FE60E64"/>
    <w:rsid w:val="51B53CE5"/>
    <w:rsid w:val="53910AC9"/>
    <w:rsid w:val="561C2746"/>
    <w:rsid w:val="576833AB"/>
    <w:rsid w:val="5C2E0D6A"/>
    <w:rsid w:val="5C837AF8"/>
    <w:rsid w:val="62245B00"/>
    <w:rsid w:val="62E51FAC"/>
    <w:rsid w:val="657A0997"/>
    <w:rsid w:val="671F45E3"/>
    <w:rsid w:val="674B7567"/>
    <w:rsid w:val="6787066D"/>
    <w:rsid w:val="688F5AF0"/>
    <w:rsid w:val="6AE126AF"/>
    <w:rsid w:val="6C7C5D98"/>
    <w:rsid w:val="6CB7135C"/>
    <w:rsid w:val="6D123F37"/>
    <w:rsid w:val="6DE37AE0"/>
    <w:rsid w:val="6FE93A75"/>
    <w:rsid w:val="72AC43DD"/>
    <w:rsid w:val="757D5C08"/>
    <w:rsid w:val="76E568DC"/>
    <w:rsid w:val="77FE3A49"/>
    <w:rsid w:val="78FD59A3"/>
    <w:rsid w:val="7A41793F"/>
    <w:rsid w:val="7A9A48E0"/>
    <w:rsid w:val="7B012BFA"/>
    <w:rsid w:val="7EC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B3E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EB3E9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iPriority w:val="99"/>
    <w:rsid w:val="00EB3E93"/>
    <w:pPr>
      <w:jc w:val="left"/>
    </w:pPr>
  </w:style>
  <w:style w:type="character" w:customStyle="1" w:styleId="Char">
    <w:name w:val="批注文字 Char"/>
    <w:link w:val="a3"/>
    <w:uiPriority w:val="99"/>
    <w:locked/>
    <w:rsid w:val="00EB3E93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EB3E9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EB3E9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EB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EB3E93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EB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EB3E93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rsid w:val="00EB3E9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EB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B3E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朱永国</dc:creator>
  <cp:keywords/>
  <dc:description/>
  <cp:lastModifiedBy>Sky123.Org</cp:lastModifiedBy>
  <cp:revision>29</cp:revision>
  <cp:lastPrinted>2019-01-28T07:49:00Z</cp:lastPrinted>
  <dcterms:created xsi:type="dcterms:W3CDTF">2019-01-09T09:05:00Z</dcterms:created>
  <dcterms:modified xsi:type="dcterms:W3CDTF">2019-02-15T06:28:00Z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