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9C544">
      <w:pPr>
        <w:pStyle w:val="4"/>
        <w:spacing w:before="200" w:beforeAutospacing="0" w:after="80" w:afterAutospacing="0"/>
        <w:jc w:val="center"/>
        <w:rPr>
          <w:rFonts w:hint="eastAsia" w:ascii="黑体" w:hAnsi="黑体" w:eastAsia="黑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000000"/>
          <w:sz w:val="28"/>
          <w:szCs w:val="28"/>
        </w:rPr>
        <w:t>附件4 技术规格与服务要求</w:t>
      </w:r>
    </w:p>
    <w:p w14:paraId="3447AD1F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一、转场方案要求（本项目核心）</w:t>
      </w:r>
    </w:p>
    <w:p w14:paraId="54CDD78A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1.两场演出为9月28日、29日连续两晚，两校区相距约52公里、车程约1小时。供应商须按"一套设备转场复用"报出两场打包总价，并单列第二场增量费用。</w:t>
      </w:r>
    </w:p>
    <w:p w14:paraId="7A47DCF6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2.★新站校区9月28日演出结束后拆卸，运输至新桥校区，9月29日完成重新搭建与调试，须确保9月29日1</w:t>
      </w:r>
      <w:r>
        <w:rPr>
          <w:rFonts w:ascii="宋体" w:hAnsi="宋体" w:eastAsia="宋体"/>
          <w:color w:val="000000"/>
          <w:sz w:val="24"/>
          <w:szCs w:val="24"/>
        </w:rPr>
        <w:t>0</w:t>
      </w:r>
      <w:r>
        <w:rPr>
          <w:rFonts w:hint="eastAsia" w:ascii="宋体" w:hAnsi="宋体" w:eastAsia="宋体"/>
          <w:color w:val="000000"/>
          <w:sz w:val="24"/>
          <w:szCs w:val="24"/>
        </w:rPr>
        <w:t>:00前具备联排条件。须书面说明转场班次安排、人员轮班与疲劳作业管控、设备运输安全防护、延误应急预案。</w:t>
      </w:r>
    </w:p>
    <w:p w14:paraId="15F8BC3B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3.★因转场导致的延误、设备损坏或演出事故，由供应商承担全部责任并赔偿相应损失。</w:t>
      </w:r>
    </w:p>
    <w:p w14:paraId="489FB02F">
      <w:pPr>
        <w:pStyle w:val="4"/>
        <w:spacing w:before="0" w:beforeAutospacing="0" w:after="40" w:afterAutospacing="0"/>
        <w:jc w:val="both"/>
        <w:rPr>
          <w:rFonts w:hint="eastAsia" w:ascii="宋体" w:hAnsi="宋体" w:eastAsia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4.舞台板、雷亚架、地毯、线槽板等属场地耗材，两校区各配一套，已在各校区明细表中分列；LED屏、灯具、音响、视频系统等核心设备转场复用，仅在附件1计价，附件2不再重复计列。</w:t>
      </w:r>
    </w:p>
    <w:p w14:paraId="1DECAC13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二、技术规格要求</w:t>
      </w:r>
    </w:p>
    <w:p w14:paraId="5D7696DD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1.设备成新率不低于3年；LED屏不得有明显坏点、色块、亮度衰减；灯具不得出现失步、卡色。</w:t>
      </w:r>
    </w:p>
    <w:p w14:paraId="207347D9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2.★使用设备品牌不低于明细表所列型号或同等档次；如需替换，须在"品牌/型号"栏注明并附参数对比，经校方书面同意。</w:t>
      </w:r>
    </w:p>
    <w:p w14:paraId="1AD2B7CF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3.★标注★及红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字</w:t>
      </w:r>
      <w:r>
        <w:rPr>
          <w:rFonts w:hint="eastAsia" w:ascii="宋体" w:hAnsi="宋体" w:eastAsia="宋体"/>
          <w:color w:val="000000"/>
          <w:sz w:val="24"/>
          <w:szCs w:val="24"/>
        </w:rPr>
        <w:t>的项目为核心项（LED主屏、侧屏、光束灯、主持人话筒、头戴麦克风、灯光秀编程、应急器材、舞台结构安全），任何情况下不得删减或降配。</w:t>
      </w:r>
    </w:p>
    <w:p w14:paraId="08E67736">
      <w:pPr>
        <w:pStyle w:val="4"/>
        <w:spacing w:before="0" w:beforeAutospacing="0" w:after="40" w:afterAutospacing="0"/>
        <w:jc w:val="both"/>
        <w:rPr>
          <w:rFonts w:hint="eastAsia" w:ascii="宋体" w:hAnsi="宋体" w:eastAsia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4.★两校区开场均须有灯光秀，时长不少于60秒，须与音乐、主屏视频同步；灯光师须提前提交编程方案与音乐时间轴，经校方确认后方可执行。</w:t>
      </w:r>
    </w:p>
    <w:p w14:paraId="18339F31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三、话筒配置硬性要求</w:t>
      </w:r>
    </w:p>
    <w:p w14:paraId="67129F8F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1.★新站校区4名主持人、新桥校区2名主持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4"/>
          <w:szCs w:val="24"/>
        </w:rPr>
        <w:t>人，须按人数足量配发无线手持话筒，严禁主持人共用、轮换话筒。</w:t>
      </w:r>
    </w:p>
    <w:p w14:paraId="51E904C1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2.★头戴麦克风不少于6套（两校区共用，转场复用），用于舞蹈、小品、情景朗诵等节目。</w:t>
      </w:r>
    </w:p>
    <w:p w14:paraId="48665603">
      <w:pPr>
        <w:pStyle w:val="4"/>
        <w:spacing w:before="0" w:beforeAutospacing="0" w:after="40" w:afterAutospacing="0"/>
        <w:jc w:val="both"/>
        <w:rPr>
          <w:rFonts w:hint="eastAsia" w:ascii="宋体" w:hAnsi="宋体" w:eastAsia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3.★每校区现场须备有有线话筒不少于2支及备用电池。</w:t>
      </w:r>
    </w:p>
    <w:p w14:paraId="205D90A2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四、主画面视觉设计服务要求</w:t>
      </w:r>
    </w:p>
    <w:p w14:paraId="443F6620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含：①主视觉KV（须融合第三届主题与建校45周年元素）；②开场灯光秀配套视频（须与灯光编程节奏匹配）；③按最终节目单制作各节目背景视频模板；④字幕条、角标、转场包装；⑤领导嘉宾姓名条、节目单版式。</w:t>
      </w:r>
    </w:p>
    <w:p w14:paraId="5C0F99F7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2.★演出前7日提交初稿，前3日完成定稿；修改不少于3轮且不另计费；须交付可编辑源文件（PSD/AI/PR工程文件），知识产权归校方所有。</w:t>
      </w:r>
    </w:p>
    <w:p w14:paraId="0E0DA905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3.新桥场次主视觉须与主会场保持体系统一，仅按屏幕尺寸适配，不得另行收取全额设计费。</w:t>
      </w:r>
    </w:p>
    <w:p w14:paraId="69EED1D8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五、安全与保障</w:t>
      </w:r>
    </w:p>
    <w:p w14:paraId="12D8101C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1.雷亚架、舞台、LED屏钢架须符合抗风要求（不低于4级），提供结构安全承诺；夜间设置警示标识。</w:t>
      </w:r>
    </w:p>
    <w:p w14:paraId="4065CC18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2.电缆须走线槽板，不得裸露；配备漏电保护装置；新桥校区须提前核实供电容量，必要时配备静音发电机。</w:t>
      </w:r>
    </w:p>
    <w:p w14:paraId="1766EB9C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3.灯光师、音响师、视频师须具备相应从业经验，高空作业人员须持证上岗。</w:t>
      </w:r>
    </w:p>
    <w:p w14:paraId="33651238">
      <w:pPr>
        <w:pStyle w:val="4"/>
        <w:spacing w:before="0" w:beforeAutospacing="0" w:after="40" w:afterAutospacing="0"/>
        <w:jc w:val="both"/>
        <w:rPr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4.★须提交书面应急预案，涵盖断电、设备故障、恶劣天气（雨/大风）、转场延误、人员伤害。</w:t>
      </w:r>
    </w:p>
    <w:p w14:paraId="031D8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C9586E"/>
    <w:rsid w:val="27AA7BD0"/>
    <w:rsid w:val="4843175B"/>
    <w:rsid w:val="513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</w:pPr>
    <w:rPr>
      <w:rFonts w:hint="eastAsia" w:ascii="宋体" w:hAnsi="宋体" w:eastAsia="宋体" w:cs="宋体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nhideWhenUsed/>
    <w:qFormat/>
    <w:uiPriority w:val="0"/>
    <w:pPr>
      <w:widowControl/>
      <w:spacing w:before="100" w:beforeLines="0" w:beforeAutospacing="1" w:after="100" w:afterLines="0" w:afterAutospacing="1"/>
    </w:pPr>
    <w:rPr>
      <w:rFonts w:hint="eastAsia"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1072</Words>
  <Characters>1119</Characters>
  <Lines>0</Lines>
  <Paragraphs>0</Paragraphs>
  <TotalTime>0</TotalTime>
  <ScaleCrop>false</ScaleCrop>
  <LinksUpToDate>false</LinksUpToDate>
  <CharactersWithSpaces>1120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哈哈</dc:creator>
  <cp:lastModifiedBy>哈哈</cp:lastModifiedBy>
  <dcterms:modified xsi:type="dcterms:W3CDTF">2026-09-09T08:14:15Z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EF51B977EC324FAD8ECCC9387783243F_11</vt:lpwstr>
  </property>
  <property fmtid="{D5CDD505-2E9C-101B-9397-08002B2CF9AE}" pid="4" name="KSOTemplateDocerSaveRecord">
    <vt:lpwstr>eyJoZGlkIjoiMGUzOTg0ODEzMDMzNzc2ZjAwNzZmN2M2ZTRkNWE4NDgiLCJ1c2VySWQiOiIyMTEwMjgyNTMifQ==</vt:lpwstr>
  </property>
</Properties>
</file>