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E5F17">
      <w:pPr>
        <w:pStyle w:val="4"/>
        <w:spacing w:before="200" w:beforeAutospacing="0" w:after="80" w:afterAutospacing="0"/>
        <w:jc w:val="center"/>
        <w:rPr>
          <w:rFonts w:hint="eastAsia" w:ascii="黑体" w:hAnsi="黑体" w:eastAsia="黑体"/>
          <w:b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/>
          <w:bCs/>
          <w:color w:val="000000"/>
          <w:sz w:val="28"/>
          <w:szCs w:val="28"/>
        </w:rPr>
        <w:t>附件3 报价单</w:t>
      </w:r>
    </w:p>
    <w:p w14:paraId="748F6CCF">
      <w:pPr>
        <w:pStyle w:val="4"/>
        <w:spacing w:before="200" w:beforeAutospacing="0" w:after="80" w:afterAutospacing="0"/>
        <w:jc w:val="center"/>
        <w:rPr>
          <w:rFonts w:hint="eastAsia" w:ascii="黑体" w:hAnsi="黑体" w:eastAsia="黑体"/>
          <w:b/>
          <w:bCs/>
          <w:color w:val="000000"/>
          <w:sz w:val="28"/>
          <w:szCs w:val="28"/>
        </w:rPr>
      </w:pPr>
    </w:p>
    <w:tbl>
      <w:tblPr>
        <w:tblStyle w:val="2"/>
        <w:tblW w:w="9198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41"/>
        <w:gridCol w:w="1203"/>
        <w:gridCol w:w="1838"/>
        <w:gridCol w:w="3616"/>
      </w:tblGrid>
      <w:tr w14:paraId="2F449F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6" w:hRule="atLeast"/>
          <w:tblHeader/>
          <w:jc w:val="center"/>
        </w:trPr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CF86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8"/>
                <w:szCs w:val="28"/>
              </w:rPr>
              <w:t>报价构成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456E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8"/>
                <w:szCs w:val="28"/>
              </w:rPr>
              <w:t>金额（元）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215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8"/>
                <w:szCs w:val="28"/>
              </w:rPr>
              <w:t>其中：第二场增量</w:t>
            </w:r>
          </w:p>
        </w:tc>
        <w:tc>
          <w:tcPr>
            <w:tcW w:w="3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FFF6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8"/>
                <w:szCs w:val="28"/>
              </w:rPr>
              <w:t>说明</w:t>
            </w:r>
          </w:p>
        </w:tc>
      </w:tr>
      <w:tr w14:paraId="049AFA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1" w:hRule="atLeast"/>
          <w:jc w:val="center"/>
        </w:trPr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B494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附件1 新站校区（9月28日）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D54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8ABA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D27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含共用设备、主画面设计、本场技术人工与场地费用</w:t>
            </w:r>
          </w:p>
        </w:tc>
      </w:tr>
      <w:tr w14:paraId="3AA4A0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1" w:hRule="atLeast"/>
          <w:jc w:val="center"/>
        </w:trPr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DDD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附件2 新桥校区（9月29日）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786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4CF9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77D0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共用设备转场复用，仅计本场技术人工与场地费用</w:t>
            </w:r>
          </w:p>
        </w:tc>
      </w:tr>
      <w:tr w14:paraId="4850CB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FF40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szCs w:val="24"/>
              </w:rPr>
              <w:t>★两场打包总报价（小写）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64C9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7A51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F693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C00000"/>
                <w:sz w:val="24"/>
                <w:szCs w:val="24"/>
              </w:rPr>
              <w:t>★不得超过最高限价 49500 元</w:t>
            </w:r>
          </w:p>
        </w:tc>
      </w:tr>
      <w:tr w14:paraId="331FD4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  <w:jc w:val="center"/>
        </w:trPr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75B2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szCs w:val="24"/>
              </w:rPr>
              <w:t>总报价（大写）</w:t>
            </w:r>
          </w:p>
        </w:tc>
        <w:tc>
          <w:tcPr>
            <w:tcW w:w="6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7A43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宋体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</w:tr>
    </w:tbl>
    <w:p w14:paraId="78606C64">
      <w:pPr>
        <w:pStyle w:val="4"/>
        <w:spacing w:before="0" w:beforeAutospacing="0" w:after="0" w:afterAutospacing="0"/>
        <w:jc w:val="both"/>
      </w:pPr>
      <w:r>
        <w:rPr>
          <w:rFonts w:hint="eastAsia" w:ascii="宋体" w:hAnsi="宋体" w:eastAsia="宋体"/>
          <w:color w:val="000000"/>
          <w:sz w:val="22"/>
          <w:szCs w:val="22"/>
        </w:rPr>
        <w:t> </w:t>
      </w:r>
    </w:p>
    <w:p w14:paraId="37C892B3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0000"/>
          <w:sz w:val="24"/>
          <w:szCs w:val="24"/>
        </w:rPr>
        <w:t>供应商承诺：</w:t>
      </w:r>
    </w:p>
    <w:p w14:paraId="447669BB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1.本报价包含税金、设备运输、转场、安装搭建、调试、现场技术保障、演出全程驻场、撤场等一切费用，成交后不再追加任何费用；</w:t>
      </w:r>
    </w:p>
    <w:p w14:paraId="3FCB719F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2.所提供设备品牌不低于询价明细所列型号或同等档次，成新率不低于3年；</w:t>
      </w:r>
    </w:p>
    <w:p w14:paraId="52285E7F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3.严格履行明细表中标注★的核心项，不删减、不降配；</w:t>
      </w:r>
    </w:p>
    <w:p w14:paraId="19A51181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4.按校方要求完成主画面视觉设计，演出前7日交初稿、前3日定稿，修改不少于3轮，交付可编辑源文件，知识产权归校方；</w:t>
      </w:r>
    </w:p>
    <w:p w14:paraId="2C7791E0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5.按时完成转场作业，确保新桥校区9月29日1</w:t>
      </w:r>
      <w:r>
        <w:rPr>
          <w:rFonts w:ascii="宋体" w:hAnsi="宋体" w:eastAsia="宋体"/>
          <w:color w:val="000000"/>
          <w:sz w:val="24"/>
          <w:szCs w:val="24"/>
        </w:rPr>
        <w:t>0</w:t>
      </w:r>
      <w:r>
        <w:rPr>
          <w:rFonts w:hint="eastAsia" w:ascii="宋体" w:hAnsi="宋体" w:eastAsia="宋体"/>
          <w:color w:val="000000"/>
          <w:sz w:val="24"/>
          <w:szCs w:val="24"/>
        </w:rPr>
        <w:t>:00前具备联排条件；</w:t>
      </w:r>
    </w:p>
    <w:p w14:paraId="40F48822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6.提供书面应急预案（断电、设备故障、恶劣天气、转场延</w:t>
      </w:r>
      <w:bookmarkStart w:id="0" w:name="_GoBack"/>
      <w:bookmarkEnd w:id="0"/>
      <w:r>
        <w:rPr>
          <w:rFonts w:hint="eastAsia" w:ascii="宋体" w:hAnsi="宋体" w:eastAsia="宋体"/>
          <w:color w:val="000000"/>
          <w:sz w:val="24"/>
          <w:szCs w:val="24"/>
        </w:rPr>
        <w:t>误、人员伤害）；</w:t>
      </w:r>
    </w:p>
    <w:p w14:paraId="4AB3D1AD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7.本公司与参与本项目的其他供应商不存在关联关系。</w:t>
      </w:r>
    </w:p>
    <w:p w14:paraId="16E3BEC1">
      <w:pPr>
        <w:pStyle w:val="4"/>
        <w:spacing w:before="0" w:beforeAutospacing="0" w:after="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 </w:t>
      </w:r>
    </w:p>
    <w:p w14:paraId="1B17D2A3">
      <w:pPr>
        <w:pStyle w:val="4"/>
        <w:spacing w:before="0" w:beforeAutospacing="0" w:after="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 </w:t>
      </w:r>
    </w:p>
    <w:p w14:paraId="26D476A7">
      <w:pPr>
        <w:pStyle w:val="4"/>
        <w:spacing w:before="0" w:beforeAutospacing="0" w:after="200" w:afterAutospacing="0"/>
        <w:jc w:val="left"/>
        <w:rPr>
          <w:rFonts w:hint="eastAsia"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供应商名称（盖章）：</w:t>
      </w:r>
    </w:p>
    <w:p w14:paraId="76068BCD">
      <w:pPr>
        <w:pStyle w:val="4"/>
        <w:spacing w:before="0" w:beforeAutospacing="0" w:after="200" w:afterAutospacing="0"/>
        <w:jc w:val="left"/>
        <w:rPr>
          <w:rFonts w:hint="eastAsia"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法定代表人或授权代表（签字）：</w:t>
      </w:r>
    </w:p>
    <w:p w14:paraId="33BFCCC3">
      <w:pPr>
        <w:pStyle w:val="4"/>
        <w:spacing w:before="0" w:beforeAutospacing="0" w:after="200" w:afterAutospacing="0"/>
        <w:jc w:val="left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日期：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/>
          <w:color w:val="000000"/>
          <w:sz w:val="24"/>
          <w:szCs w:val="24"/>
        </w:rPr>
        <w:t>年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/>
          <w:color w:val="000000"/>
          <w:sz w:val="24"/>
          <w:szCs w:val="24"/>
        </w:rPr>
        <w:t>月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/>
          <w:color w:val="000000"/>
          <w:sz w:val="24"/>
          <w:szCs w:val="24"/>
        </w:rPr>
        <w:t>日</w:t>
      </w:r>
    </w:p>
    <w:p w14:paraId="40E778B9"/>
    <w:sectPr>
      <w:pgSz w:w="12240" w:h="15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1A20ADA"/>
    <w:rsid w:val="44797425"/>
    <w:rsid w:val="448854C0"/>
    <w:rsid w:val="69194632"/>
    <w:rsid w:val="6BB8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</w:pPr>
    <w:rPr>
      <w:rFonts w:hint="eastAsia" w:ascii="宋体" w:hAnsi="宋体" w:eastAsia="宋体" w:cs="宋体"/>
      <w:kern w:val="2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unhideWhenUsed/>
    <w:qFormat/>
    <w:uiPriority w:val="0"/>
    <w:pPr>
      <w:widowControl/>
      <w:spacing w:before="100" w:beforeLines="0" w:beforeAutospacing="1" w:after="100" w:afterLines="0" w:afterAutospacing="1"/>
    </w:pPr>
    <w:rPr>
      <w:rFonts w:hint="eastAsia" w:ascii="等线" w:hAnsi="等线" w:eastAsia="等线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442</Characters>
  <Lines>0</Lines>
  <Paragraphs>0</Paragraphs>
  <TotalTime>2</TotalTime>
  <ScaleCrop>false</ScaleCrop>
  <LinksUpToDate>false</LinksUpToDate>
  <CharactersWithSpaces>462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2026-09-07T07:02:00Z</dcterms:created>
  <dc:creator>哈哈</dc:creator>
  <cp:lastModifiedBy>哈哈</cp:lastModifiedBy>
  <dcterms:modified xsi:type="dcterms:W3CDTF">2026-09-09T00:57:37Z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6E8D4B6C0CC04FD2887BAE74234154BC_11</vt:lpwstr>
  </property>
  <property fmtid="{D5CDD505-2E9C-101B-9397-08002B2CF9AE}" pid="4" name="KSOTemplateDocerSaveRecord">
    <vt:lpwstr>eyJoZGlkIjoiMGUzOTg0ODEzMDMzNzc2ZjAwNzZmN2M2ZTRkNWE4NDgiLCJ1c2VySWQiOiIyMTEwMjgyNTMifQ==</vt:lpwstr>
  </property>
</Properties>
</file>