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F2468">
      <w:pP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9F9442">
      <w:pPr>
        <w:jc w:val="center"/>
        <w:rPr>
          <w:rFonts w:ascii="仿宋_GB2312" w:hAnsi="宋体" w:eastAsia="仿宋_GB2312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安徽城市管理职业学院新站校区</w:t>
      </w: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公共卫生间改造一处节水设施</w:t>
      </w: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报价表</w:t>
      </w:r>
    </w:p>
    <w:p w14:paraId="5E300DF0">
      <w:pPr>
        <w:jc w:val="center"/>
        <w:rPr>
          <w:rFonts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445"/>
        <w:gridCol w:w="720"/>
        <w:gridCol w:w="4168"/>
        <w:gridCol w:w="1707"/>
      </w:tblGrid>
      <w:tr w14:paraId="2134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C6A1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新站校区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公共卫生间改造一处节水设施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采购清单</w:t>
            </w:r>
          </w:p>
        </w:tc>
      </w:tr>
      <w:tr w14:paraId="1508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ED3D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1178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服务/货物名称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57AB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32D2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服务要求或货物品牌及主要参数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AE11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报价小计（元）</w:t>
            </w:r>
          </w:p>
        </w:tc>
      </w:tr>
      <w:tr w14:paraId="6736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D9A7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CCA4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新站校区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公共卫生间改造一处节水设施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FFC7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64B5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新站校区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间改造一处节水设施，拟采用时控定时器+定时循环控制器+纯铜防水水管电磁阀组合控制，同时涉及原有设备拆除、布设电源线、安装电工套管和金属电箱，以实现固定时间段夜间暂停供水、其余时间节约用水。</w:t>
            </w:r>
            <w:bookmarkStart w:id="0" w:name="_GoBack"/>
            <w:bookmarkEnd w:id="0"/>
          </w:p>
          <w:p w14:paraId="03D55671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服务单位</w:t>
            </w:r>
            <w:r>
              <w:rPr>
                <w:rFonts w:hint="default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在勘察现场的基础上充分考虑拆除安装调试等相关费用</w:t>
            </w:r>
            <w:r>
              <w:rPr>
                <w:rFonts w:hint="default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4F13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1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B546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CC81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FCA1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A408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37AA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B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0930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B742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D921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5479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57DE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4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1C37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A430">
            <w:pPr>
              <w:ind w:firstLine="480" w:firstLineChars="200"/>
              <w:jc w:val="center"/>
              <w:rPr>
                <w:rFonts w:hint="default" w:ascii="仿宋" w:hAnsi="仿宋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C00000"/>
                <w:kern w:val="0"/>
                <w:sz w:val="24"/>
                <w:szCs w:val="24"/>
                <w:lang w:val="en-US" w:eastAsia="zh-CN"/>
              </w:rPr>
              <w:t>此报价为</w:t>
            </w:r>
            <w:r>
              <w:rPr>
                <w:rFonts w:hint="eastAsia" w:ascii="仿宋_GB2312" w:hAnsi="宋体" w:eastAsia="仿宋_GB2312" w:cs="宋体"/>
                <w:color w:val="C00000"/>
                <w:kern w:val="0"/>
                <w:sz w:val="24"/>
                <w:szCs w:val="24"/>
              </w:rPr>
              <w:t>含税报价</w:t>
            </w:r>
          </w:p>
        </w:tc>
      </w:tr>
      <w:tr w14:paraId="0861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600B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</w:tc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EB44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小写：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</w:tbl>
    <w:p w14:paraId="628E0BD5">
      <w:pPr>
        <w:pStyle w:val="6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75451747">
      <w:pPr>
        <w:pStyle w:val="6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本单位承诺，本次报价真实有效，本表传真、扫描件、PDF文件同原件具有相同效力，报价有效期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10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个工作日.</w:t>
      </w:r>
    </w:p>
    <w:p w14:paraId="67E254E3">
      <w:pPr>
        <w:pStyle w:val="6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2627F3C0">
      <w:pPr>
        <w:ind w:left="479" w:leftChars="228" w:right="960" w:firstLine="4080" w:firstLineChars="170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                   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E2D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261" w:type="dxa"/>
          </w:tcPr>
          <w:p w14:paraId="4C65877D">
            <w:pPr>
              <w:pStyle w:val="6"/>
              <w:wordWrap/>
              <w:ind w:left="0" w:leftChars="0" w:right="-314" w:rightChars="0" w:firstLine="0" w:firstLineChars="0"/>
              <w:jc w:val="left"/>
              <w:rPr>
                <w:rFonts w:hint="default" w:ascii="仿宋" w:hAnsi="仿宋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报价人： </w:t>
            </w:r>
          </w:p>
          <w:p w14:paraId="4AAAEB43">
            <w:pPr>
              <w:pStyle w:val="6"/>
              <w:wordWrap/>
              <w:ind w:left="0" w:leftChars="0" w:right="-314" w:rightChars="0" w:firstLine="0" w:firstLineChars="0"/>
              <w:jc w:val="left"/>
              <w:rPr>
                <w:rFonts w:hint="default" w:ascii="仿宋" w:hAnsi="仿宋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联系方式： </w:t>
            </w:r>
          </w:p>
        </w:tc>
        <w:tc>
          <w:tcPr>
            <w:tcW w:w="4261" w:type="dxa"/>
          </w:tcPr>
          <w:p w14:paraId="5A3882A5">
            <w:pPr>
              <w:pStyle w:val="6"/>
              <w:wordWrap/>
              <w:ind w:left="0" w:leftChars="0" w:right="-314" w:rightChars="0" w:firstLine="0" w:firstLineChars="0"/>
              <w:jc w:val="left"/>
              <w:rPr>
                <w:rFonts w:hint="default" w:ascii="仿宋" w:hAnsi="仿宋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  <w:t>报价单位：</w:t>
            </w:r>
          </w:p>
          <w:p w14:paraId="6FD74607">
            <w:pPr>
              <w:pStyle w:val="6"/>
              <w:wordWrap/>
              <w:ind w:left="0" w:leftChars="0" w:right="-314" w:rightChars="0" w:firstLine="0" w:firstLineChars="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D4D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BFF4078">
            <w:pPr>
              <w:pStyle w:val="6"/>
              <w:wordWrap/>
              <w:ind w:left="0" w:leftChars="0" w:right="-314" w:rightChars="0" w:firstLine="0" w:firstLineChars="0"/>
              <w:jc w:val="left"/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61" w:type="dxa"/>
          </w:tcPr>
          <w:p w14:paraId="101D726F">
            <w:pPr>
              <w:pStyle w:val="6"/>
              <w:wordWrap/>
              <w:ind w:left="0" w:leftChars="0" w:right="960" w:firstLine="0" w:firstLineChars="0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</w:rPr>
              <w:t>报价日期：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6C8FC8A3"/>
    <w:p w14:paraId="2E4AE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NjYwZjkyNDc5MTRkNTBjNzhmNWQzYmZmYmM3N2QifQ=="/>
  </w:docVars>
  <w:rsids>
    <w:rsidRoot w:val="21264132"/>
    <w:rsid w:val="03241355"/>
    <w:rsid w:val="05C018BB"/>
    <w:rsid w:val="08BE1785"/>
    <w:rsid w:val="10E84C38"/>
    <w:rsid w:val="21264132"/>
    <w:rsid w:val="22670D29"/>
    <w:rsid w:val="28F44A41"/>
    <w:rsid w:val="2B8F74B6"/>
    <w:rsid w:val="2D1E0AF2"/>
    <w:rsid w:val="2D7626DC"/>
    <w:rsid w:val="34E72111"/>
    <w:rsid w:val="42044303"/>
    <w:rsid w:val="43571A95"/>
    <w:rsid w:val="4A365275"/>
    <w:rsid w:val="4A804742"/>
    <w:rsid w:val="4D1B0752"/>
    <w:rsid w:val="5621502B"/>
    <w:rsid w:val="5BCC5A39"/>
    <w:rsid w:val="5C662A50"/>
    <w:rsid w:val="5FC44C79"/>
    <w:rsid w:val="66887E4A"/>
    <w:rsid w:val="6B7A7F2F"/>
    <w:rsid w:val="730A05EE"/>
    <w:rsid w:val="7AEF6BF7"/>
    <w:rsid w:val="7B73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bCs/>
      <w:kern w:val="2"/>
      <w:sz w:val="28"/>
      <w:szCs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327</Characters>
  <Lines>0</Lines>
  <Paragraphs>0</Paragraphs>
  <TotalTime>2</TotalTime>
  <ScaleCrop>false</ScaleCrop>
  <LinksUpToDate>false</LinksUpToDate>
  <CharactersWithSpaces>418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2023-11-03T09:10:00Z</dcterms:created>
  <dc:creator>陶政辉</dc:creator>
  <cp:lastModifiedBy>白杨1375853189</cp:lastModifiedBy>
  <cp:lastPrinted>2026-01-23T03:31:28Z</cp:lastPrinted>
  <dcterms:modified xsi:type="dcterms:W3CDTF">2026-01-23T03:33:24Z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815EA7A8AC4A4C54AB748B37B028D38F_13</vt:lpwstr>
  </property>
  <property fmtid="{D5CDD505-2E9C-101B-9397-08002B2CF9AE}" pid="4" name="KSOTemplateDocerSaveRecord">
    <vt:lpwstr>eyJoZGlkIjoiMGUwNjYwZjkyNDc5MTRkNTBjNzhmNWQzYmZmYmM3N2QiLCJ1c2VySWQiOiIzOTA3Njg3In0=</vt:lpwstr>
  </property>
</Properties>
</file>