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E7" w:rsidRPr="00051A9D" w:rsidRDefault="000E0E9D" w:rsidP="00051A9D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51A9D">
        <w:rPr>
          <w:rFonts w:ascii="黑体" w:eastAsia="黑体" w:hAnsi="黑体" w:cs="Times New Roman" w:hint="eastAsia"/>
          <w:b/>
          <w:sz w:val="36"/>
          <w:szCs w:val="36"/>
        </w:rPr>
        <w:t>《旅游管理》专业职业技能</w:t>
      </w:r>
      <w:r w:rsidRPr="00051A9D"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C955E7" w:rsidRPr="00051A9D" w:rsidRDefault="000E0E9D" w:rsidP="009C44BB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 w:rsidRPr="00051A9D"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C955E7" w:rsidRDefault="00C34558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hAnsi="宋体" w:cs="Times New Roman" w:hint="eastAsia"/>
          <w:bCs/>
          <w:color w:val="000000"/>
          <w:sz w:val="28"/>
          <w:szCs w:val="28"/>
        </w:rPr>
        <w:t>201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8</w:t>
      </w:r>
      <w:r w:rsidRPr="00B90CC9">
        <w:rPr>
          <w:rFonts w:ascii="宋体" w:hAnsi="宋体" w:cs="Times New Roman" w:hint="eastAsia"/>
          <w:bCs/>
          <w:color w:val="000000"/>
          <w:sz w:val="28"/>
          <w:szCs w:val="28"/>
        </w:rPr>
        <w:t>年安徽城市管理职业学院</w:t>
      </w:r>
      <w:r w:rsidRPr="00C34558">
        <w:rPr>
          <w:rFonts w:ascii="宋体" w:hAnsi="宋体" w:cs="Times New Roman" w:hint="eastAsia"/>
          <w:bCs/>
          <w:color w:val="000000"/>
          <w:sz w:val="28"/>
          <w:szCs w:val="28"/>
        </w:rPr>
        <w:t>旅游管理</w:t>
      </w:r>
      <w:r w:rsidRPr="00B90CC9">
        <w:rPr>
          <w:rFonts w:ascii="宋体" w:hAnsi="宋体" w:cs="Times New Roman" w:hint="eastAsia"/>
          <w:bCs/>
          <w:color w:val="000000"/>
          <w:sz w:val="28"/>
          <w:szCs w:val="28"/>
        </w:rPr>
        <w:t>专业职业技能测试，是面向中等职业学校相关专业毕业生的选拔性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测</w:t>
      </w:r>
      <w:r w:rsidRPr="00B90CC9">
        <w:rPr>
          <w:rFonts w:ascii="宋体" w:hAnsi="宋体" w:cs="Times New Roman" w:hint="eastAsia"/>
          <w:bCs/>
          <w:color w:val="000000"/>
          <w:sz w:val="28"/>
          <w:szCs w:val="28"/>
        </w:rPr>
        <w:t>试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，</w:t>
      </w:r>
      <w:r w:rsidR="000E0E9D">
        <w:rPr>
          <w:rFonts w:ascii="宋体" w:hAnsi="宋体" w:cs="Times New Roman" w:hint="eastAsia"/>
          <w:bCs/>
          <w:color w:val="000000"/>
          <w:sz w:val="28"/>
          <w:szCs w:val="28"/>
        </w:rPr>
        <w:t>侧重考察考生掌握旅游管理专业的专业基础知识、专业基本操作，以及分析问题和解决问题的能力。</w:t>
      </w:r>
    </w:p>
    <w:p w:rsidR="00C955E7" w:rsidRPr="00051A9D" w:rsidRDefault="000E0E9D" w:rsidP="009C44BB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 w:rsidRPr="00051A9D"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C955E7" w:rsidRPr="00051A9D" w:rsidRDefault="000E0E9D" w:rsidP="009C44BB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1．测试形式</w:t>
      </w: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：采用面试形式，</w:t>
      </w:r>
      <w:r w:rsidRPr="00051A9D">
        <w:rPr>
          <w:rFonts w:ascii="宋体" w:hAnsi="宋体" w:cs="Times New Roman"/>
          <w:bCs/>
          <w:color w:val="000000"/>
          <w:sz w:val="28"/>
          <w:szCs w:val="28"/>
        </w:rPr>
        <w:t>每位考生面试时间为5分钟</w:t>
      </w: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左右。</w:t>
      </w:r>
    </w:p>
    <w:p w:rsidR="00C955E7" w:rsidRPr="00051A9D" w:rsidRDefault="000E0E9D" w:rsidP="009C44BB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2．测试分值</w:t>
      </w: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：满分为300分</w:t>
      </w:r>
    </w:p>
    <w:p w:rsidR="00C955E7" w:rsidRPr="00051A9D" w:rsidRDefault="000E0E9D" w:rsidP="009C44BB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 w:rsidRPr="00051A9D"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C955E7" w:rsidRPr="00051A9D" w:rsidRDefault="000E0E9D" w:rsidP="009C44BB">
      <w:pPr>
        <w:widowControl/>
        <w:spacing w:line="540" w:lineRule="exact"/>
        <w:ind w:firstLineChars="176" w:firstLine="495"/>
        <w:rPr>
          <w:rFonts w:ascii="宋体" w:hAnsi="宋体" w:cs="Times New Roman"/>
          <w:b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1</w:t>
      </w:r>
      <w:r w:rsid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．</w:t>
      </w:r>
      <w:r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旅游基础知识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（1）旅游的概念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（2）旅游的分类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（3）旅游的主要特征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51A9D" w:rsidP="009C44BB">
      <w:pPr>
        <w:widowControl/>
        <w:spacing w:line="540" w:lineRule="exact"/>
        <w:ind w:firstLineChars="176" w:firstLine="495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2．</w:t>
      </w:r>
      <w:r w:rsidR="000E0E9D"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旅游基本要素</w:t>
      </w:r>
    </w:p>
    <w:p w:rsidR="00C955E7" w:rsidRPr="00051A9D" w:rsidRDefault="000E0E9D" w:rsidP="009C44BB">
      <w:pPr>
        <w:widowControl/>
        <w:numPr>
          <w:ilvl w:val="0"/>
          <w:numId w:val="2"/>
        </w:numPr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旅游者的概念与分类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E0E9D" w:rsidP="009C44BB">
      <w:pPr>
        <w:widowControl/>
        <w:numPr>
          <w:ilvl w:val="0"/>
          <w:numId w:val="2"/>
        </w:numPr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旅游资源的概念与分类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E0E9D" w:rsidP="009C44BB">
      <w:pPr>
        <w:widowControl/>
        <w:numPr>
          <w:ilvl w:val="0"/>
          <w:numId w:val="2"/>
        </w:numPr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旅游业的概念与构成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51A9D" w:rsidP="009C44BB">
      <w:pPr>
        <w:widowControl/>
        <w:spacing w:line="540" w:lineRule="exact"/>
        <w:ind w:firstLineChars="176" w:firstLine="495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3．</w:t>
      </w:r>
      <w:r w:rsidR="000E0E9D" w:rsidRPr="00051A9D">
        <w:rPr>
          <w:rFonts w:ascii="宋体" w:hAnsi="宋体" w:cs="Times New Roman" w:hint="eastAsia"/>
          <w:b/>
          <w:bCs/>
          <w:color w:val="000000"/>
          <w:sz w:val="28"/>
          <w:szCs w:val="28"/>
        </w:rPr>
        <w:t>旅游市场营销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（1）旅游市场的概念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（2）旅游市场的基本划分方式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C955E7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（3）旅游市场营销的基本运作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B56777" w:rsidRPr="00B56777" w:rsidRDefault="00B56777" w:rsidP="009C44BB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 w:rsidRPr="00B56777"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B56777" w:rsidRPr="00CB2FFA" w:rsidRDefault="00B56777" w:rsidP="009C44BB">
      <w:pPr>
        <w:widowControl/>
        <w:spacing w:line="540" w:lineRule="exact"/>
        <w:ind w:firstLineChars="176" w:firstLine="493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B56777" w:rsidRPr="00CB2FFA" w:rsidRDefault="00B56777" w:rsidP="009C44BB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lastRenderedPageBreak/>
        <w:t>1</w:t>
      </w:r>
      <w:r w:rsidRPr="00CB2FFA">
        <w:rPr>
          <w:rFonts w:ascii="宋体" w:hAnsi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B56777" w:rsidRPr="00CB2FFA" w:rsidRDefault="00B56777" w:rsidP="009C44BB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 w:rsidRPr="00CB2FFA">
        <w:rPr>
          <w:rFonts w:ascii="宋体" w:hAnsi="宋体"/>
          <w:b/>
          <w:kern w:val="0"/>
          <w:sz w:val="28"/>
          <w:szCs w:val="28"/>
        </w:rPr>
        <w:t>2.</w:t>
      </w:r>
      <w:r w:rsidRPr="00CB2FFA">
        <w:rPr>
          <w:rFonts w:ascii="宋体" w:hAnsi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B56777" w:rsidRPr="00CB2FFA" w:rsidRDefault="00B56777" w:rsidP="009C44BB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 w:rsidRPr="00CB2FFA">
        <w:rPr>
          <w:rFonts w:ascii="宋体" w:hAnsi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/>
          <w:b/>
          <w:kern w:val="0"/>
          <w:sz w:val="28"/>
          <w:szCs w:val="28"/>
        </w:rPr>
        <w:t>.</w:t>
      </w:r>
      <w:r w:rsidRPr="00CB2FFA">
        <w:rPr>
          <w:rFonts w:ascii="宋体" w:hAnsi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B56777" w:rsidRPr="00CB2FFA" w:rsidRDefault="00B56777" w:rsidP="009C44BB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/>
          <w:b/>
          <w:kern w:val="0"/>
          <w:sz w:val="28"/>
          <w:szCs w:val="28"/>
        </w:rPr>
        <w:t>.</w:t>
      </w:r>
      <w:r w:rsidRPr="00CB2FFA">
        <w:rPr>
          <w:rFonts w:ascii="宋体" w:hAnsi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B56777" w:rsidRPr="00CB2FFA" w:rsidRDefault="00B56777" w:rsidP="009C44BB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 w:rsidRPr="00CB2FFA">
        <w:rPr>
          <w:rFonts w:ascii="宋体" w:hAnsi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/>
          <w:b/>
          <w:kern w:val="0"/>
          <w:sz w:val="28"/>
          <w:szCs w:val="28"/>
        </w:rPr>
        <w:t>.</w:t>
      </w:r>
      <w:r w:rsidRPr="00CB2FFA">
        <w:rPr>
          <w:rFonts w:ascii="宋体" w:hAnsi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hint="eastAsia"/>
          <w:kern w:val="0"/>
          <w:sz w:val="28"/>
          <w:szCs w:val="28"/>
        </w:rPr>
        <w:t>：考生分析与解决问题有无创新意识；是否发展潜力。</w:t>
      </w:r>
    </w:p>
    <w:p w:rsidR="00C955E7" w:rsidRPr="00051A9D" w:rsidRDefault="00B56777" w:rsidP="009C44BB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五</w:t>
      </w:r>
      <w:r w:rsidR="000E0E9D" w:rsidRPr="00051A9D"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  <w:t>、题型举例</w:t>
      </w:r>
    </w:p>
    <w:p w:rsidR="00C955E7" w:rsidRPr="00051A9D" w:rsidRDefault="000E0E9D" w:rsidP="009C44B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1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．</w:t>
      </w: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请问一个人成为旅游者开展旅游活动所必须具备的条件有哪些？</w:t>
      </w:r>
    </w:p>
    <w:p w:rsidR="00C955E7" w:rsidRDefault="000E0E9D" w:rsidP="009C44BB">
      <w:pPr>
        <w:widowControl/>
        <w:spacing w:line="540" w:lineRule="exact"/>
        <w:ind w:firstLineChars="176" w:firstLine="493"/>
        <w:rPr>
          <w:rFonts w:ascii="宋体" w:hAnsi="宋体"/>
          <w:color w:val="000000"/>
          <w:kern w:val="0"/>
          <w:sz w:val="28"/>
          <w:szCs w:val="28"/>
        </w:rPr>
      </w:pP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2</w:t>
      </w:r>
      <w:r w:rsidR="00051A9D">
        <w:rPr>
          <w:rFonts w:ascii="宋体" w:hAnsi="宋体" w:cs="Times New Roman" w:hint="eastAsia"/>
          <w:bCs/>
          <w:color w:val="000000"/>
          <w:sz w:val="28"/>
          <w:szCs w:val="28"/>
        </w:rPr>
        <w:t>．</w:t>
      </w:r>
      <w:r w:rsidRPr="00051A9D">
        <w:rPr>
          <w:rFonts w:ascii="宋体" w:hAnsi="宋体" w:cs="Times New Roman" w:hint="eastAsia"/>
          <w:bCs/>
          <w:color w:val="000000"/>
          <w:sz w:val="28"/>
          <w:szCs w:val="28"/>
        </w:rPr>
        <w:t>旅游和旅游业的发展对旅游目的地的经济、社会文化以及环境将会产生哪些影响？</w:t>
      </w:r>
      <w:bookmarkStart w:id="0" w:name="_GoBack"/>
      <w:bookmarkEnd w:id="0"/>
    </w:p>
    <w:sectPr w:rsidR="00C9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BF" w:rsidRDefault="00D926BF" w:rsidP="00051A9D">
      <w:r>
        <w:separator/>
      </w:r>
    </w:p>
  </w:endnote>
  <w:endnote w:type="continuationSeparator" w:id="0">
    <w:p w:rsidR="00D926BF" w:rsidRDefault="00D926BF" w:rsidP="0005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BF" w:rsidRDefault="00D926BF" w:rsidP="00051A9D">
      <w:r>
        <w:separator/>
      </w:r>
    </w:p>
  </w:footnote>
  <w:footnote w:type="continuationSeparator" w:id="0">
    <w:p w:rsidR="00D926BF" w:rsidRDefault="00D926BF" w:rsidP="0005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A6ECE17"/>
    <w:lvl w:ilvl="0">
      <w:start w:val="2"/>
      <w:numFmt w:val="decimal"/>
      <w:suff w:val="nothing"/>
      <w:lvlText w:val="%1、"/>
      <w:lvlJc w:val="left"/>
    </w:lvl>
  </w:abstractNum>
  <w:abstractNum w:abstractNumId="1">
    <w:nsid w:val="5B603967"/>
    <w:multiLevelType w:val="singleLevel"/>
    <w:tmpl w:val="5A6E8FA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E7"/>
    <w:rsid w:val="00051A9D"/>
    <w:rsid w:val="000E0E9D"/>
    <w:rsid w:val="009C44BB"/>
    <w:rsid w:val="00B56777"/>
    <w:rsid w:val="00C34558"/>
    <w:rsid w:val="00C955E7"/>
    <w:rsid w:val="00D926BF"/>
    <w:rsid w:val="00F00001"/>
    <w:rsid w:val="00F5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qFormat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qFormat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2016-01-25T06:05:00Z</dcterms:created>
  <dcterms:modified xsi:type="dcterms:W3CDTF">2018-02-13T02:11:00Z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