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大学生居民基本医疗保险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市内就医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住院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已办理医保：定点医院直接结算（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住院及结算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时主动告知缴费窗口已办理大学生医保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并提供金融社保卡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2.暂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未办理医保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但确认参保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（针对入学新生）：从缴费之日起开始享受当年大学生医保待遇。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住院后及时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联系学籍科开通绿色通道，所需材料：姓名、身份证号、住院医院名称、住院时间、住院原因。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备注：绿色通道务必于住院后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</w:rPr>
        <w:t>第一时间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联系开通。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市外就医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住院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如有金融社保卡，出院前完成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《在肥高校在校大学生转诊转院/异地就医备案单》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后交至学籍科艾羚报医保中心备案，出院可直接结算。如无金融社保卡，请按后文准备材料交学院报销。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所需材料：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《大学生医保零星报销申请表》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姓名处盖安徽城市管理职业学院章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《在肥高校在校大学生转诊转院/异地就医备案单》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按照表样盖二级学院、学籍科、安徽城市管理职业学院章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住院费用发票原件并加盖章；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出院记录或出院小结原件并加盖章；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费用明细总清单原件并加盖章；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参保人的徽商银行卡卡号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（写在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《大学生医保零星报销申请表》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上方空白处）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参保人身份证复印件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（正反面）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请务必复印以上所有材料留存。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2.备注：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若住院治疗涉及单价1000元以上医用材料的，需提供医用材料是国产还是进口的产地条形码（需盖章）；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若住院行输血的，需提供血常规化验单（需盖章）；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若住院行输白蛋白的，需提供白蛋白化验单（需盖章）；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若住院行放疗的需要提供计计划单、执行单和记录单（需盖章）；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若因外伤住院的，需提供伤情经过证明并加盖学校公章及《意外伤害无第三方责任人承诺书》；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报销材料若需留存请自行复印，原件不予退还。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材料提交时间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务必于出院后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天内将报销所需材料提交材料至学籍科艾羚处。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372EC3E-0EF6-4793-9BF4-07336D1094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DAAA801-4865-4BF9-B848-F7D63D82EC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210B8"/>
    <w:multiLevelType w:val="singleLevel"/>
    <w:tmpl w:val="BEA210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762207"/>
    <w:multiLevelType w:val="singleLevel"/>
    <w:tmpl w:val="D3762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1BEDC2"/>
    <w:multiLevelType w:val="singleLevel"/>
    <w:tmpl w:val="581BED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73F49"/>
    <w:rsid w:val="0C056043"/>
    <w:rsid w:val="0CC00621"/>
    <w:rsid w:val="18773F49"/>
    <w:rsid w:val="199E261C"/>
    <w:rsid w:val="27D24E7A"/>
    <w:rsid w:val="3D9A4532"/>
    <w:rsid w:val="41516390"/>
    <w:rsid w:val="4C9566E8"/>
    <w:rsid w:val="5FB605FB"/>
    <w:rsid w:val="6725266D"/>
    <w:rsid w:val="6CDF3621"/>
    <w:rsid w:val="7783258B"/>
    <w:rsid w:val="79D27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2020-04-15T02:31:00Z</dcterms:created>
  <dc:creator>Teacher艾</dc:creator>
  <cp:lastModifiedBy>艾羚</cp:lastModifiedBy>
  <dcterms:modified xsi:type="dcterms:W3CDTF">2022-03-02T08:32:53Z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4FE0F36627B843DE9E35BCAD5914717A</vt:lpwstr>
  </property>
</Properties>
</file>